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63"/>
        <w:spacing w:after="0"/>
        <w:rPr>
          <w:sz w:val="20"/>
          <w:szCs w:val="20"/>
          <w:color w:val="auto"/>
        </w:rPr>
      </w:pPr>
      <w:r>
        <w:rPr>
          <w:rFonts w:ascii="Times New Roman" w:cs="Times New Roman" w:eastAsia="Times New Roman" w:hAnsi="Times New Roman"/>
          <w:sz w:val="22"/>
          <w:szCs w:val="22"/>
          <w:b w:val="1"/>
          <w:bCs w:val="1"/>
          <w:color w:val="auto"/>
        </w:rPr>
        <w:t>ANNUAL REPORT PURSUANT TO SECTION 15(d) OF THE</w:t>
      </w:r>
    </w:p>
    <w:p>
      <w:pPr>
        <w:spacing w:after="0" w:line="18" w:lineRule="exact"/>
        <w:rPr>
          <w:sz w:val="24"/>
          <w:szCs w:val="24"/>
          <w:color w:val="auto"/>
        </w:rPr>
      </w:pPr>
    </w:p>
    <w:p>
      <w:pPr>
        <w:jc w:val="center"/>
        <w:ind w:right="-86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43" w:lineRule="exact"/>
        <w:rPr>
          <w:sz w:val="24"/>
          <w:szCs w:val="24"/>
          <w:color w:val="auto"/>
        </w:rPr>
      </w:pPr>
    </w:p>
    <w:p>
      <w:pPr>
        <w:ind w:left="424" w:hanging="424"/>
        <w:spacing w:after="0" w:line="262" w:lineRule="auto"/>
        <w:tabs>
          <w:tab w:leader="none" w:pos="42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 (No fee required, effective October 7, 1996)</w:t>
      </w:r>
    </w:p>
    <w:p>
      <w:pPr>
        <w:spacing w:after="0" w:line="159" w:lineRule="exact"/>
        <w:rPr>
          <w:sz w:val="24"/>
          <w:szCs w:val="24"/>
          <w:color w:val="auto"/>
        </w:rPr>
      </w:pPr>
    </w:p>
    <w:p>
      <w:pPr>
        <w:jc w:val="center"/>
        <w:ind w:right="-863"/>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25" w:lineRule="exact"/>
        <w:rPr>
          <w:sz w:val="24"/>
          <w:szCs w:val="24"/>
          <w:color w:val="auto"/>
        </w:rPr>
      </w:pPr>
    </w:p>
    <w:p>
      <w:pPr>
        <w:ind w:left="5404"/>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 (No fee required)</w:t>
      </w:r>
    </w:p>
    <w:p>
      <w:pPr>
        <w:spacing w:after="0" w:line="229" w:lineRule="exact"/>
        <w:rPr>
          <w:sz w:val="24"/>
          <w:szCs w:val="24"/>
          <w:color w:val="auto"/>
        </w:rPr>
      </w:pPr>
    </w:p>
    <w:p>
      <w:pPr>
        <w:ind w:left="3304"/>
        <w:spacing w:after="0"/>
        <w:tabs>
          <w:tab w:leader="none" w:pos="6604"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ind w:left="4244"/>
        <w:spacing w:after="0"/>
        <w:rPr>
          <w:sz w:val="20"/>
          <w:szCs w:val="20"/>
          <w:color w:val="auto"/>
        </w:rPr>
      </w:pPr>
      <w:r>
        <w:rPr>
          <w:rFonts w:ascii="Times New Roman" w:cs="Times New Roman" w:eastAsia="Times New Roman" w:hAnsi="Times New Roman"/>
          <w:sz w:val="18"/>
          <w:szCs w:val="18"/>
          <w:b w:val="1"/>
          <w:bCs w:val="1"/>
          <w:color w:val="auto"/>
        </w:rPr>
        <w:t>Commission file number 1-12317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144" w:right="3300" w:hanging="4144"/>
        <w:spacing w:after="0" w:line="546" w:lineRule="auto"/>
        <w:tabs>
          <w:tab w:leader="none" w:pos="43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Full title of the plan and the address of the plan, if different from that of the issuer </w:t>
      </w:r>
      <w:r>
        <w:rPr>
          <w:rFonts w:ascii="Times New Roman" w:cs="Times New Roman" w:eastAsia="Times New Roman" w:hAnsi="Times New Roman"/>
          <w:sz w:val="17"/>
          <w:szCs w:val="17"/>
          <w:b w:val="1"/>
          <w:bCs w:val="1"/>
          <w:color w:val="auto"/>
        </w:rPr>
        <w:t>named below NOV Inc. 401(k) Plan</w:t>
      </w:r>
    </w:p>
    <w:p>
      <w:pPr>
        <w:spacing w:after="0" w:line="1"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863"/>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4"/>
          <w:szCs w:val="24"/>
          <w:color w:val="auto"/>
        </w:rPr>
      </w:pPr>
    </w:p>
    <w:p>
      <w:pPr>
        <w:jc w:val="center"/>
        <w:ind w:right="-863"/>
        <w:spacing w:after="0"/>
        <w:rPr>
          <w:sz w:val="20"/>
          <w:szCs w:val="20"/>
          <w:color w:val="auto"/>
        </w:rPr>
      </w:pPr>
      <w:r>
        <w:rPr>
          <w:rFonts w:ascii="Times New Roman" w:cs="Times New Roman" w:eastAsia="Times New Roman" w:hAnsi="Times New Roman"/>
          <w:sz w:val="18"/>
          <w:szCs w:val="18"/>
          <w:b w:val="1"/>
          <w:bCs w:val="1"/>
          <w:color w:val="auto"/>
        </w:rPr>
        <w:t>10353 Richmond Avenue</w:t>
      </w:r>
    </w:p>
    <w:p>
      <w:pPr>
        <w:spacing w:after="0" w:line="9" w:lineRule="exact"/>
        <w:rPr>
          <w:sz w:val="24"/>
          <w:szCs w:val="24"/>
          <w:color w:val="auto"/>
        </w:rPr>
      </w:pPr>
    </w:p>
    <w:p>
      <w:pPr>
        <w:jc w:val="center"/>
        <w:ind w:right="-863"/>
        <w:spacing w:after="0"/>
        <w:rPr>
          <w:sz w:val="20"/>
          <w:szCs w:val="20"/>
          <w:color w:val="auto"/>
        </w:rPr>
      </w:pPr>
      <w:r>
        <w:rPr>
          <w:rFonts w:ascii="Times New Roman" w:cs="Times New Roman" w:eastAsia="Times New Roman" w:hAnsi="Times New Roman"/>
          <w:sz w:val="18"/>
          <w:szCs w:val="18"/>
          <w:b w:val="1"/>
          <w:bCs w:val="1"/>
          <w:color w:val="auto"/>
        </w:rPr>
        <w:t>Houston, Texas 77042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64"/>
          </w:cols>
          <w:pgMar w:left="436" w:top="376" w:right="12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INFORMATION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National Oilwell Varco, Inc. 401(k) and Retirement Savings Plan (the Plan) is subject to the requirements of the Employee Retirement Income Security Act of 1974 (ERISA).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color w:val="auto"/>
        </w:rPr>
        <w:t>In lieu of the requirements of Items 1, 2, and 3 of this Form 11-K, the following financial statements of the Plan, notes thereto, and the Report 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Registered Public Accounting Firm thereon are being filed in this Report:</w:t>
      </w:r>
    </w:p>
    <w:p>
      <w:pPr>
        <w:spacing w:after="0" w:line="112"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Net Assets Available for Benefits – December 31, 2023 and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Changes in Net Assets Available for Benefits – Year ended December 31, 2023;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Consent of Independent Registered Public Accounting Firms to the incorporation by reference of the foregoing financial statements in the Registration Statement on Form S-8 (No. 333-46459) pertaining to the Plan are being filed as Exhibit 23.1 to this Report.</w:t>
      </w:r>
    </w:p>
    <w:p>
      <w:pPr>
        <w:sectPr>
          <w:pgSz w:w="11900" w:h="16838" w:orient="portrait"/>
          <w:cols w:equalWidth="0" w:num="1">
            <w:col w:w="10980"/>
          </w:cols>
          <w:pgMar w:left="440" w:top="26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TATEMENTS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CHEDULE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and 2022, and Year Ended December 31, 2023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Report of Independent Registered Public Accounting Firm</w:t>
      </w:r>
    </w:p>
    <w:p>
      <w:pPr>
        <w:sectPr>
          <w:pgSz w:w="11900" w:h="16838" w:orient="portrait"/>
          <w:cols w:equalWidth="0" w:num="1">
            <w:col w:w="10019"/>
          </w:cols>
          <w:pgMar w:left="440" w:top="27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2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color w:val="auto"/>
                <w:w w:val="99"/>
              </w:rPr>
              <w:t>NOV Inc. 401(k) Plan</w:t>
            </w:r>
          </w:p>
        </w:tc>
        <w:tc>
          <w:tcPr>
            <w:tcW w:w="162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00" w:type="dxa"/>
            <w:vAlign w:val="bottom"/>
            <w:gridSpan w:val="5"/>
          </w:tcPr>
          <w:p>
            <w:pPr>
              <w:jc w:val="center"/>
              <w:ind w:right="1760"/>
              <w:spacing w:after="0"/>
              <w:rPr>
                <w:sz w:val="20"/>
                <w:szCs w:val="20"/>
                <w:color w:val="auto"/>
              </w:rPr>
            </w:pPr>
            <w:r>
              <w:rPr>
                <w:rFonts w:ascii="Times New Roman" w:cs="Times New Roman" w:eastAsia="Times New Roman" w:hAnsi="Times New Roman"/>
                <w:sz w:val="18"/>
                <w:szCs w:val="18"/>
                <w:color w:val="auto"/>
                <w:w w:val="99"/>
              </w:rPr>
              <w:t>Financial Statements and Supplemental Schedule</w:t>
            </w:r>
          </w:p>
        </w:tc>
        <w:tc>
          <w:tcPr>
            <w:tcW w:w="162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720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w w:val="99"/>
              </w:rPr>
              <w:t>December 31, 2023 and 2022, and Year Ended December 31, 2023</w:t>
            </w:r>
          </w:p>
        </w:tc>
        <w:tc>
          <w:tcPr>
            <w:tcW w:w="162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0" w:type="dxa"/>
            <w:vAlign w:val="bottom"/>
            <w:gridSpan w:val="2"/>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620" w:type="dxa"/>
            <w:vAlign w:val="bottom"/>
          </w:tcPr>
          <w:p>
            <w:pPr>
              <w:spacing w:after="0"/>
              <w:rPr>
                <w:sz w:val="24"/>
                <w:szCs w:val="24"/>
                <w:color w:val="auto"/>
              </w:rPr>
            </w:pPr>
          </w:p>
        </w:tc>
      </w:tr>
      <w:tr>
        <w:trPr>
          <w:trHeight w:val="418"/>
        </w:trPr>
        <w:tc>
          <w:tcPr>
            <w:tcW w:w="4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12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53"/>
        </w:trPr>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620" w:type="dxa"/>
            <w:vAlign w:val="bottom"/>
          </w:tcPr>
          <w:p>
            <w:pPr>
              <w:spacing w:after="0"/>
              <w:rPr>
                <w:sz w:val="24"/>
                <w:szCs w:val="24"/>
                <w:color w:val="auto"/>
              </w:rPr>
            </w:pPr>
          </w:p>
        </w:tc>
      </w:tr>
      <w:tr>
        <w:trPr>
          <w:trHeight w:val="392"/>
        </w:trPr>
        <w:tc>
          <w:tcPr>
            <w:tcW w:w="3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Statements of Net Assets Available for Benefits</w:t>
            </w:r>
          </w:p>
        </w:tc>
        <w:tc>
          <w:tcPr>
            <w:tcW w:w="5900" w:type="dxa"/>
            <w:vAlign w:val="bottom"/>
            <w:gridSpan w:val="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9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2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140" w:type="dxa"/>
            <w:vAlign w:val="bottom"/>
            <w:gridSpan w:val="4"/>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53"/>
        </w:trPr>
        <w:tc>
          <w:tcPr>
            <w:tcW w:w="21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7200" w:type="dxa"/>
            <w:vAlign w:val="bottom"/>
            <w:gridSpan w:val="6"/>
          </w:tcPr>
          <w:p>
            <w:pPr>
              <w:spacing w:after="0"/>
              <w:rPr>
                <w:sz w:val="24"/>
                <w:szCs w:val="24"/>
                <w:color w:val="auto"/>
              </w:rPr>
            </w:pPr>
          </w:p>
        </w:tc>
        <w:tc>
          <w:tcPr>
            <w:tcW w:w="1620" w:type="dxa"/>
            <w:vAlign w:val="bottom"/>
          </w:tcPr>
          <w:p>
            <w:pPr>
              <w:spacing w:after="0"/>
              <w:rPr>
                <w:sz w:val="24"/>
                <w:szCs w:val="24"/>
                <w:color w:val="auto"/>
              </w:rPr>
            </w:pPr>
          </w:p>
        </w:tc>
      </w:tr>
      <w:tr>
        <w:trPr>
          <w:trHeight w:val="392"/>
        </w:trPr>
        <w:tc>
          <w:tcPr>
            <w:tcW w:w="9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Schedule H, Line 4(i) – Schedule of Assets (Held At End of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7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9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Schedule H, Line 4(a) – Schedule of Delinquent Participant Contributions</w:t>
            </w: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2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Benefits Plan Administrative Committee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 Inc. 401(k) Plan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NOV Inc. 401(k) Plan (the Plan) as of December 31, 2023 and 2022, and the related statement of changes in net assets available for benefits for the year ended December 31, 2023, and the related notes and schedules (collectively referred to as the financial statements). In our opinion, the financial statements present fairly, in all material respects, the net assets available for benefits of the Plan as of December 31, 2023 and 2022, and the changes in net assets available for benefits for the year ended December 31, 2023,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supplementary information in the accompanying schedule of assets (held at end of year) and schedule of delinquent participant contributions as of and for the year ended December 31, 2023 has been subjected to audit procedures performed in conjunction with the audit of the Plan’s financial statements. The supplementary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2024</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 Inc. 401(k) Plan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62,719</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52,617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65,348</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27,868,732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26,074,324</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27,953,280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26,139,672</w:t>
            </w:r>
          </w:p>
        </w:tc>
        <w:tc>
          <w:tcPr>
            <w:tcW w:w="8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1,299,035,069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1,112,139,737</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187,641,406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209,330,048</w:t>
            </w:r>
          </w:p>
        </w:tc>
      </w:tr>
      <w:tr>
        <w:trPr>
          <w:trHeight w:val="27"/>
        </w:trPr>
        <w:tc>
          <w:tcPr>
            <w:tcW w:w="8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1,514,629,755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1,347,672,176</w:t>
            </w:r>
          </w:p>
        </w:tc>
      </w:tr>
      <w:tr>
        <w:trPr>
          <w:trHeight w:val="20"/>
        </w:trPr>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7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NOV Inc. 401(k) Plan</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7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Statement of Changes in Net Assets Available for Benefits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7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Year Ended December 31, 2023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9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41,695,176</w:t>
            </w: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67,415,690</w:t>
            </w: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Participant rollovers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10,839,205</w:t>
            </w: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Transfer from National-Oilwell Defined Benefit Pension Plan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4,509,384</w:t>
            </w: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22,441,632</w:t>
            </w: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187,142,333</w:t>
            </w:r>
          </w:p>
        </w:tc>
        <w:tc>
          <w:tcPr>
            <w:tcW w:w="100" w:type="dxa"/>
            <w:vAlign w:val="bottom"/>
            <w:shd w:val="clear" w:color="auto" w:fill="CCEEFF"/>
          </w:tcPr>
          <w:p>
            <w:pPr>
              <w:spacing w:after="0"/>
              <w:rPr>
                <w:sz w:val="18"/>
                <w:szCs w:val="18"/>
                <w:color w:val="auto"/>
              </w:rPr>
            </w:pP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additions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335,662,262</w:t>
            </w: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Deductions: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167,560,120</w:t>
            </w: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Deemed loan distributions</w:t>
            </w:r>
          </w:p>
        </w:tc>
        <w:tc>
          <w:tcPr>
            <w:tcW w:w="1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(18,329)</w:t>
            </w:r>
          </w:p>
        </w:tc>
      </w:tr>
      <w:tr>
        <w:trPr>
          <w:trHeight w:val="216"/>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1,162,892</w:t>
            </w:r>
          </w:p>
        </w:tc>
        <w:tc>
          <w:tcPr>
            <w:tcW w:w="100" w:type="dxa"/>
            <w:vAlign w:val="bottom"/>
            <w:shd w:val="clear" w:color="auto" w:fill="CCEEFF"/>
          </w:tcPr>
          <w:p>
            <w:pPr>
              <w:spacing w:after="0"/>
              <w:rPr>
                <w:sz w:val="18"/>
                <w:szCs w:val="18"/>
                <w:color w:val="auto"/>
              </w:rPr>
            </w:pPr>
          </w:p>
        </w:tc>
      </w:tr>
      <w:tr>
        <w:trPr>
          <w:trHeight w:val="223"/>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Total deductions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168,704,683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166,957,579</w:t>
            </w: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year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1,347,672,176</w:t>
            </w:r>
          </w:p>
        </w:tc>
        <w:tc>
          <w:tcPr>
            <w:tcW w:w="100" w:type="dxa"/>
            <w:vAlign w:val="bottom"/>
            <w:shd w:val="clear" w:color="auto" w:fill="CCEEFF"/>
          </w:tcPr>
          <w:p>
            <w:pPr>
              <w:spacing w:after="0"/>
              <w:rPr>
                <w:sz w:val="18"/>
                <w:szCs w:val="18"/>
                <w:color w:val="auto"/>
              </w:rPr>
            </w:pPr>
          </w:p>
        </w:tc>
      </w:tr>
      <w:tr>
        <w:trPr>
          <w:trHeight w:val="223"/>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1,514,629,755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 Inc. 401(k)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119"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7"/>
          <w:szCs w:val="17"/>
          <w:color w:val="auto"/>
        </w:rPr>
        <w:t xml:space="preserve">The following description of the NOV Inc. 401(k) Plan (the Plan) is provided for general information only. Participants should refer to the </w:t>
      </w:r>
      <w:r>
        <w:rPr>
          <w:rFonts w:ascii="Times New Roman" w:cs="Times New Roman" w:eastAsia="Times New Roman" w:hAnsi="Times New Roman"/>
          <w:sz w:val="17"/>
          <w:szCs w:val="17"/>
          <w:i w:val="1"/>
          <w:iCs w:val="1"/>
          <w:color w:val="auto"/>
        </w:rPr>
        <w:t>Summary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Plan Description </w:t>
      </w:r>
      <w:r>
        <w:rPr>
          <w:rFonts w:ascii="Times New Roman" w:cs="Times New Roman" w:eastAsia="Times New Roman" w:hAnsi="Times New Roman"/>
          <w:sz w:val="17"/>
          <w:szCs w:val="17"/>
          <w:color w:val="auto"/>
        </w:rPr>
        <w:t>for a more complete description of the Plan’s provisions, a copy of which is available from NOV Inc. (the Company or Plan Sponsor).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was established effective April 1, 1987, for the benefit of the employees of the Company. The Plan is a multiple-employer defined contribution plan covering substantially all domestic employees who have completed one hour of service. The Plan is subject to the provisions of the Employee Retirement Income Security Act of 1974, as amended (ERISA).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Participants may make both pretax and after-tax contributions to the Plan. The Plan allows pretax salary deferral contributions of 1% to 75% (less any after-tax contributions, required withholdings, or other elected deductions) of compensation, subject to certain Internal Revenue Service (IRS) limitations. The Plan allows participants to designate their salary deferral contributions as Roth contributions. After-tax contributions may be made at 1% to 18% of eligible compensation. However, combined pretax and after-tax contributions, required withholdings, and other elected deductions cannot exceed 100% of eligible compensation. The Plan provides for the automatic enrollment and payroll deduction of 5% of a newly eligible employee’s compensation as soon as practical following 60 days after employment for most participants, except for certain employees covered by a collective bargaining agreement who may have a different percentage based on their collective bargaining agreement. Participants age 50 and older may contribute additional pre-tax catch-up contributions, subject to IRS limitations.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Effective January 1, 2023, the Company increased the company match from 100% of the first 4% of each participant’s contribution to 100% of the first 5% of each participant’s contribution. This contribution is intended to satisfy a safe harbor contribution formula permitted by IRS regulations. By making the safe harbor matching contribution, the Plan will automatically satisfy the nondiscrimination requirements that otherwise would apply to 401(k) contributions made by the plan.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 Inc. 401(k)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 (continued)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may also make a discretionary contribution to the Plan. In December of 2023, the Company made a discretionary contribution of approximately $3.6 million divided among all eligible participants, excluding collective bargained employees. This contribution effectively allocated a surplus distribution from the National-Oilwell Defined Benefit Pension Plan that was terminated. The surplus of approximately $4.5 million is shown as a transfer into the Plan on the statement of changes in net assets available for benefit.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Participants are immediately 100% vested in their participant and employer contributions and the related earnings that have been credited to their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Plan pays lump-sum benefits upon retirement, disability, death, or termination of employment. In-service withdrawals, subject to certain rules and restrictions, may also be made from certain account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Plan includes a loan provision that permits participants to borrow a minimum of $1,000 up to a maximum equal to the lesser of $50,000 or 50% of the total value of their Plan assets. The loans are payable in principal installments, plus interest, at prime plus one percent through payroll deductions and are due in one- to five-year terms, unless the loan is used to acquire a principal residence, in which case the loan term cannot exceed ten years. Repayments are made ratably through payroll deductions.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Participant loans are recorded on the financial statements as notes receivable from participants at their unpaid principal balance plus any accrued but unpaid interest. Interest income on notes receivable from participants is recorded when it is earned. Related fees are recorded as administrative expenses and are expensed when they are incurred. No allowance for credit losses has been recorded as of December 31, 2023 or 2022. If a participant ceases to make loan repayments and the plan administrator deems the participant loan to be a distribution, the participant loan balance is reduced and a benefit payment is recorded.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administrative expenses are paid from the Plan’s assets. All other Plan expenses are paid by the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 Inc. 401(k) Plan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54" w:lineRule="exact"/>
        <w:rPr>
          <w:sz w:val="20"/>
          <w:szCs w:val="20"/>
          <w:color w:val="auto"/>
        </w:rPr>
      </w:pPr>
    </w:p>
    <w:p>
      <w:pPr>
        <w:ind w:left="4" w:right="8420" w:hanging="4"/>
        <w:spacing w:after="0" w:line="378" w:lineRule="auto"/>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Plan (continued) Plan Termination</w:t>
      </w: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Participants are 100% vested in their accounts in any event. Assets would be distributed to participants as prescribed by ERISA.</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Rollovers</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As part of the settlement of NOV’s defined benefit plan in the United States, active participants were allowed to rollover lump sums into their respective 401(k) Plan.</w:t>
      </w:r>
    </w:p>
    <w:p>
      <w:pPr>
        <w:spacing w:after="0" w:line="266" w:lineRule="exact"/>
        <w:rPr>
          <w:sz w:val="20"/>
          <w:szCs w:val="20"/>
          <w:color w:val="auto"/>
        </w:rPr>
      </w:pPr>
    </w:p>
    <w:p>
      <w:pPr>
        <w:ind w:left="4" w:right="8320" w:hanging="4"/>
        <w:spacing w:after="0" w:line="378" w:lineRule="auto"/>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on the accrual basis of accounting. Benefit payments to participants are recorded upon distribution.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that affect the amounts reported in the financial statements, accompanying notes, and supplemental schedule. Actual results could differ from those estimates.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Company are recorded in the year in which the employee contributions are withheld from compensation.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t>Investments held by the Plan (except for fully benefit-responsive investment contracts) are stated at fair value. Fair value is defined as the price that would be received to sell an asset or paid to transfer a liability in an orderly transaction between market participants at the measurement date (an exit price). See Note 3 for further discussion of fair value measurements.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 Inc. 401(k)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Accounting Policies (continued)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as earned. Dividends are recorded on the record date. Net appreciation includes the Plan’s gains and losses on investments bought and sold as well as held during the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Plan provides for investments in various investment securities that, in general, are exposed to various risks, such as interest rate, credit, and overall market volatility risks. Market values of investments may decline for a number of reasons, including changes in prevailing market and interest rates, increases in defaults and credit rating downgrades.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Management’s Review of 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evaluated subsequent events through June 26, 2024, the date the financial statements were available to be issued.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fair value framework establishes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are described below:</w:t>
      </w:r>
    </w:p>
    <w:p>
      <w:pPr>
        <w:spacing w:after="0" w:line="68"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in active markets that are accessible to the reporting entity at the measurement date for identical assets and liabilities.</w:t>
      </w:r>
    </w:p>
    <w:p>
      <w:pPr>
        <w:spacing w:after="0" w:line="54" w:lineRule="exact"/>
        <w:rPr>
          <w:sz w:val="20"/>
          <w:szCs w:val="20"/>
          <w:color w:val="auto"/>
        </w:rPr>
      </w:pPr>
    </w:p>
    <w:p>
      <w:pPr>
        <w:ind w:left="440" w:right="320"/>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67" w:lineRule="exact"/>
        <w:rPr>
          <w:sz w:val="20"/>
          <w:szCs w:val="20"/>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and liabilities in active markets;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observable inputs other than quoted prices that are used in the valuation of the asset or liabilities (e.g., interest rate and yield curve quotes at commonly quoted intervals);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1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 Inc. 401(k) Plan</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 (continued)</w:t>
      </w:r>
    </w:p>
    <w:p>
      <w:pPr>
        <w:spacing w:after="0" w:line="135" w:lineRule="exact"/>
        <w:rPr>
          <w:sz w:val="20"/>
          <w:szCs w:val="20"/>
          <w:color w:val="auto"/>
        </w:rPr>
      </w:pPr>
    </w:p>
    <w:p>
      <w:pPr>
        <w:ind w:left="1420" w:hanging="331"/>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11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the asset or liability (i.e., supported by little or no market activity). Level 3 inputs include management’s own assumption about the assumptions that market participants would use in pricing the asset or liability (including assumptions about risk).</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the fair value measurement is classified is determined based on the lowest level input that is significant to the fair value measure in its entirety.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valuation techniques and inputs used for each general type of assets measured at fair value by the Plan:</w:t>
      </w:r>
    </w:p>
    <w:p>
      <w:pPr>
        <w:spacing w:after="0" w:line="115" w:lineRule="exact"/>
        <w:rPr>
          <w:sz w:val="20"/>
          <w:szCs w:val="20"/>
          <w:color w:val="auto"/>
        </w:rPr>
      </w:pPr>
    </w:p>
    <w:p>
      <w:pPr>
        <w:ind w:lef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Self-directed brokerage accounts: </w:t>
      </w:r>
      <w:r>
        <w:rPr>
          <w:rFonts w:ascii="Times New Roman" w:cs="Times New Roman" w:eastAsia="Times New Roman" w:hAnsi="Times New Roman"/>
          <w:sz w:val="18"/>
          <w:szCs w:val="18"/>
          <w:color w:val="auto"/>
        </w:rPr>
        <w:t>Accounts primarily consist of cash, money market funds, mutual funds and common stocks that are valued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basis of readily determinable market prices.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Common stocks: </w:t>
      </w:r>
      <w:r>
        <w:rPr>
          <w:rFonts w:ascii="Times New Roman" w:cs="Times New Roman" w:eastAsia="Times New Roman" w:hAnsi="Times New Roman"/>
          <w:sz w:val="18"/>
          <w:szCs w:val="18"/>
          <w:color w:val="auto"/>
        </w:rPr>
        <w:t>Valued at the closing price reported on the active market on which the individual securities are traded.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the net asset value (NAV) of shares held by the Plan at year-end.</w:t>
      </w:r>
    </w:p>
    <w:p>
      <w:pPr>
        <w:spacing w:after="0" w:line="117" w:lineRule="exact"/>
        <w:rPr>
          <w:sz w:val="20"/>
          <w:szCs w:val="20"/>
          <w:color w:val="auto"/>
        </w:rPr>
      </w:pPr>
    </w:p>
    <w:p>
      <w:pPr>
        <w:ind w:left="440"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collective trust funds: </w:t>
      </w:r>
      <w:r>
        <w:rPr>
          <w:rFonts w:ascii="Times New Roman" w:cs="Times New Roman" w:eastAsia="Times New Roman" w:hAnsi="Times New Roman"/>
          <w:sz w:val="18"/>
          <w:szCs w:val="18"/>
          <w:color w:val="auto"/>
        </w:rPr>
        <w:t>Valued at the NAV of shares held by the Plan at year-end. The NAV, as provided by the trustee, is used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practical expedient to estimate fair value. The NAV is based on the fair value of the underlying investments held by the fund.</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assets carried at fair value: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440" w:top="270" w:right="6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 Inc. 401(k)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 (continued)</w:t>
      </w: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at Fair Value as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 at Fair Value as of</w:t>
            </w: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stock</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21,887,761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21,887,761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24,716,529</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24,716,529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443,055,415</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443,055,415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906,772,740</w:t>
            </w: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906,772,740</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18,237,802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18,237,802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11,013,951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11,013,951</w:t>
            </w:r>
          </w:p>
        </w:tc>
      </w:tr>
      <w:tr>
        <w:trPr>
          <w:trHeight w:val="23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483,180,978</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483,180,978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942,503,220</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942,503,220</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815,854,091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169,636,517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1,299,035,069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1,112,139,737</w:t>
            </w:r>
          </w:p>
        </w:tc>
        <w:tc>
          <w:tcPr>
            <w:tcW w:w="4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Fully Benefit-Responsive Investment Contracts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Plan offers an investment called the NOV Stable Value Fund, which is managed by Galliard Capital Management and is comprised of investments in fixed income security funds that are covered by synthetic guaranteed investment contracts (synthetic GICs), which are fully benefit-responsive investment contracts. Within this structure, the Plan owns both the fixed income security funds and the wrapper contracts.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 synthetic GIC structure, the Plan makes investments in fixed income security funds. To reduce the risk of losses on these investments, the Plan purchases a wrapper contract from an insurance company or bank, which enables Plan participants to transact at a specified contract value by protecting the principal amount invested over a specific period of time.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Fully Benefit-Responsive investment contracts held by a defined contribution plan are required to be reported at contract value. Contract value is the relevant measurement attributable to fully benefit-responsive investment contracts because contract value is the amount participants would receive if they were to initiate permitted transactions under the terms of the Plan. The contract value of the fully benefit-responsive investment contracts represents contributions plus earnings, less participant withdrawals and administrative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investments covered by the wrapper contracts earn interest at interest crediting rates that are typically reset on a monthly or quarterly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interest crediting rates use a formula that is based on the characteristics of the underlying fixed income portfolio.</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Participants may ordinarily direct the withdrawal or transfer of all or a portion of their investment at contract value. Certain events limit the ability of the Plan to transact at contract value with the issuer. Such events include the following: (i) amendments to the Plan documents (including complete or partial Plan termination or merger with another plan), (ii) changes to the Plan’s prohibition on competing investment options or deletion of equity wash provisions,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 Inc. 401(k) Plan</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58" w:lineRule="exact"/>
        <w:rPr>
          <w:sz w:val="20"/>
          <w:szCs w:val="20"/>
          <w:color w:val="auto"/>
        </w:rPr>
      </w:pPr>
    </w:p>
    <w:p>
      <w:pPr>
        <w:ind w:left="4" w:right="20" w:hanging="4"/>
        <w:spacing w:after="0" w:line="266"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of the Plan sponsor or other Plan sponsor events (e.g., divestitures or spin-offs of the trust to qualify for exemption from federal income taxes or any required prohibited transaction exemption under ERISA). The Plan administrator does not believe that the occurrence of any such value event, which would limit the Plan’s ability to transact at contract value with participants, is probable.</w:t>
      </w:r>
    </w:p>
    <w:p>
      <w:pPr>
        <w:spacing w:after="0" w:line="176"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In some cases, an investment contract issuer may terminate a contract with the Plan and settle at amounts different from the contract value. Examples of these events include the Plan’s loss of its qualified status, material breaches of responsibilities that are not cured, or material and adverse changes to the provisions of the Plan. If one of these events were to occur, the investment contract issuer could terminate the contract at the market value of the underlying investments.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Common Collective Trusts</w:t>
      </w:r>
    </w:p>
    <w:p>
      <w:pPr>
        <w:spacing w:after="0" w:line="121" w:lineRule="exact"/>
        <w:rPr>
          <w:sz w:val="20"/>
          <w:szCs w:val="20"/>
          <w:color w:val="auto"/>
        </w:rPr>
      </w:pPr>
    </w:p>
    <w:p>
      <w:pPr>
        <w:ind w:left="4" w:right="340"/>
        <w:spacing w:after="0" w:line="312" w:lineRule="auto"/>
        <w:rPr>
          <w:sz w:val="20"/>
          <w:szCs w:val="20"/>
          <w:color w:val="auto"/>
        </w:rPr>
      </w:pPr>
      <w:r>
        <w:rPr>
          <w:rFonts w:ascii="Times New Roman" w:cs="Times New Roman" w:eastAsia="Times New Roman" w:hAnsi="Times New Roman"/>
          <w:sz w:val="17"/>
          <w:szCs w:val="17"/>
          <w:color w:val="auto"/>
        </w:rPr>
        <w:t>The Harris Associates Oakmark International Collective Fund, is a common collective trust fund established, operated and maintained by SEI Trust Company, which is a direct filing entity with the U.S. Department of Labor. There are currently no redemption restrictions on this investment.</w:t>
      </w:r>
    </w:p>
    <w:p>
      <w:pPr>
        <w:spacing w:after="0" w:line="14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SEI Trust Company Short Term Investment Fund II is a common collective trust fund which invests primarily in short term fixed income securities, which is a direct filing entity with the U.S. Department of Labor. There are currently no redemption restrictions on this investment.</w:t>
      </w:r>
    </w:p>
    <w:p>
      <w:pPr>
        <w:spacing w:after="0" w:line="162"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The Capital Group Target Date Retirement Funds is a common collective trust fund which invests primarily in fixed income, equity-income and balanced funds. There are currently no redemption restrictions on this investment.</w:t>
      </w:r>
    </w:p>
    <w:p>
      <w:pPr>
        <w:spacing w:after="0" w:line="162"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The JP Morgan Large Cap Growth Fund is a common collective trust fund which invests primarily in equity securities of large, well-established companies. There are currently no redemption restrictions on this investment.</w:t>
      </w:r>
    </w:p>
    <w:p>
      <w:pPr>
        <w:spacing w:after="0" w:line="162"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The State Street U.S. Bond Index fund is a common collective trust fund which invests primarily in government Treasury securities, corporate bonds, mortgage-backed securities (MBS), asset-backed securities (ABS), and munis to simulate the universe of bonds in the market. There are currently no redemption restrictions on this investment.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Related-Party Transactions and Parties of Interest Transactions</w:t>
      </w:r>
    </w:p>
    <w:p>
      <w:pPr>
        <w:spacing w:after="0" w:line="121"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Certain investments of the Plan are managed by Principal, the trustee of the Plan;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 under ERISA.</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NOV Inc. 401(k)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 Status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2023, the Plan adopted a nonstandardized prototype defined contribution profit sharing plan with Internal Revenue Code</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401(k) Cash or Deferred Arrangement (CODA) which received a favorable opinion letter from the IRS dated June 30, 2020. The Plan has been amended since the date of the last amendment covered by the above mentioned determination letter. However, Plan management believes that the plan is currently designed and being operated in compliance with the applicable requirements of the Internal Revenue Code.</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U.S. generally accepted accounting principles requires Plan management to evaluate tax positions taken by the Plan and recognize a tax liability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Schedules</w:t>
      </w:r>
    </w:p>
    <w:p>
      <w:pPr>
        <w:sectPr>
          <w:pgSz w:w="11900" w:h="16838" w:orient="portrait"/>
          <w:cols w:equalWidth="0" w:num="1">
            <w:col w:w="9019"/>
          </w:cols>
          <w:pgMar w:left="1440" w:top="27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 Inc. 401(k)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No. 001 EIN 76-0475815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(Held at End of Year)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Identity of Issue, Borrower, Lessor, or Similar</w:t>
            </w:r>
          </w:p>
        </w:tc>
        <w:tc>
          <w:tcPr>
            <w:tcW w:w="6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3"/>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Party</w:t>
            </w:r>
          </w:p>
        </w:tc>
        <w:tc>
          <w:tcPr>
            <w:tcW w:w="680" w:type="dxa"/>
            <w:vAlign w:val="bottom"/>
          </w:tcPr>
          <w:p>
            <w:pPr>
              <w:spacing w:after="0"/>
              <w:rPr>
                <w:sz w:val="16"/>
                <w:szCs w:val="16"/>
                <w:color w:val="auto"/>
              </w:rPr>
            </w:pPr>
          </w:p>
        </w:tc>
        <w:tc>
          <w:tcPr>
            <w:tcW w:w="626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Current Value</w:t>
            </w:r>
          </w:p>
        </w:tc>
      </w:tr>
      <w:tr>
        <w:trPr>
          <w:trHeight w:val="203"/>
        </w:trPr>
        <w:tc>
          <w:tcPr>
            <w:tcW w:w="28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*National Oilwell Varco, Inc.</w:t>
            </w:r>
          </w:p>
        </w:tc>
        <w:tc>
          <w:tcPr>
            <w:tcW w:w="680" w:type="dxa"/>
            <w:vAlign w:val="bottom"/>
            <w:tcBorders>
              <w:top w:val="single" w:sz="8" w:color="CCEEFF"/>
            </w:tcBorders>
            <w:shd w:val="clear" w:color="auto" w:fill="CCEEFF"/>
          </w:tcPr>
          <w:p>
            <w:pPr>
              <w:spacing w:after="0"/>
              <w:rPr>
                <w:sz w:val="17"/>
                <w:szCs w:val="17"/>
                <w:color w:val="auto"/>
              </w:rPr>
            </w:pPr>
          </w:p>
        </w:tc>
        <w:tc>
          <w:tcPr>
            <w:tcW w:w="6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1,079,278 shares of common stock</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21,887,761</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BlackRock</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High Yield Bond Portfolio</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4,308,559</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 Kampen Funds</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Van Kampen Growth &amp; Income Fund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51,938,535</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Harris Assoc. Oakmark Int’l Collective Fund</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42,988,732</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Frost Funds</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Frost Total Return Bond Fund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53,255,773</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Vanguard</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 Inflation Protected Secs Instl Fund</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10,397,608</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Small Cap Growth Index Fund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43,755,749</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Vanguard</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 Institutional Index Fund</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153,878,774</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Small Cap Index Fund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5,076,665</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Fidelity</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International Bond Index Fund</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1,530,498</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Mid Cap Index</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84,230,599</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Fidelity</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Total International Index Fund</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12,226,075</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Undiscovered Managers Behavioral Value Fund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18,784,824</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State Street</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U.S. Bond Index</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2,936,074</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Dimensional Funds</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DFA Global Real Estate Securities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3,671,756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Fund A</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54,443,063</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Fund 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53,989,427</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Fund F</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79,208,916</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SEI Trust Company</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 Fund II</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2,659,333</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Research 010 Retirement Trust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5,979,997</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015 Retirement Trust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1,945,737</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Research 020 Retirement Trust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35,333,565</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025 Retirement Trust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39,125,682</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Research 030 Retirement Trust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128,846,577</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035 Retirement Trust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62,583,726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Research 040 Retirement Trust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126,636,805</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045 Retirement Trust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59,779,907</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Research 050 Retirement Trust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109,884,379</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055 Retirement Trust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46,907,037</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Research 060 Retirement Trust</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19,607,387</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and Mgmt Co</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065 Retirement Trust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6,194,998</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JP Morgan</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JPMCB Large Cap Growth</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124,444,155</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w:t>
            </w:r>
          </w:p>
        </w:tc>
        <w:tc>
          <w:tcPr>
            <w:tcW w:w="68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18,237,802</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68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maturities and interest rates ranging from 3.25% to 9.50%</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27,868,732</w:t>
            </w:r>
          </w:p>
        </w:tc>
      </w:tr>
      <w:tr>
        <w:trPr>
          <w:trHeight w:val="27"/>
        </w:trPr>
        <w:tc>
          <w:tcPr>
            <w:tcW w:w="2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1,514,545,207</w:t>
            </w:r>
          </w:p>
        </w:tc>
      </w:tr>
      <w:tr>
        <w:trPr>
          <w:trHeight w:val="20"/>
        </w:trPr>
        <w:tc>
          <w:tcPr>
            <w:tcW w:w="2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Party in interest.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NOV Inc. 401(k) Plan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Plan No. 001 EIN 76-0475815</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Schedule H, Line 4(a) – Schedule of Delinquent Contributions</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December 31, 2023</w:t>
      </w:r>
    </w:p>
    <w:p>
      <w:pPr>
        <w:sectPr>
          <w:pgSz w:w="11900" w:h="16838" w:orient="portrait"/>
          <w:cols w:equalWidth="0" w:num="1">
            <w:col w:w="10960"/>
          </w:cols>
          <w:pgMar w:left="440" w:top="270" w:right="499" w:bottom="1440" w:gutter="0" w:footer="0" w:header="0"/>
        </w:sectPr>
      </w:pPr>
    </w:p>
    <w:p>
      <w:pPr>
        <w:spacing w:after="0" w:line="248"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color w:val="auto"/>
        </w:rPr>
        <w:t>Participant</w:t>
      </w:r>
    </w:p>
    <w:p>
      <w:pPr>
        <w:jc w:val="center"/>
        <w:ind w:left="4760"/>
        <w:spacing w:after="0" w:line="226" w:lineRule="auto"/>
        <w:rPr>
          <w:sz w:val="20"/>
          <w:szCs w:val="20"/>
          <w:color w:val="auto"/>
        </w:rPr>
      </w:pPr>
      <w:r>
        <w:rPr>
          <w:rFonts w:ascii="Times New Roman" w:cs="Times New Roman" w:eastAsia="Times New Roman" w:hAnsi="Times New Roman"/>
          <w:sz w:val="14"/>
          <w:szCs w:val="14"/>
          <w:color w:val="auto"/>
        </w:rPr>
        <w:t>Contributions</w:t>
      </w:r>
    </w:p>
    <w:p>
      <w:pPr>
        <w:jc w:val="center"/>
        <w:ind w:left="4760"/>
        <w:spacing w:after="0" w:line="222" w:lineRule="auto"/>
        <w:rPr>
          <w:sz w:val="20"/>
          <w:szCs w:val="20"/>
          <w:color w:val="auto"/>
        </w:rPr>
      </w:pPr>
      <w:r>
        <w:rPr>
          <w:rFonts w:ascii="Times New Roman" w:cs="Times New Roman" w:eastAsia="Times New Roman" w:hAnsi="Times New Roman"/>
          <w:sz w:val="14"/>
          <w:szCs w:val="14"/>
          <w:color w:val="auto"/>
        </w:rPr>
        <w:t>Transferred</w:t>
      </w:r>
    </w:p>
    <w:p>
      <w:pPr>
        <w:jc w:val="center"/>
        <w:ind w:left="4760"/>
        <w:spacing w:after="0"/>
        <w:rPr>
          <w:sz w:val="20"/>
          <w:szCs w:val="20"/>
          <w:color w:val="auto"/>
        </w:rPr>
      </w:pPr>
      <w:r>
        <w:rPr>
          <w:rFonts w:ascii="Times New Roman" w:cs="Times New Roman" w:eastAsia="Times New Roman" w:hAnsi="Times New Roman"/>
          <w:sz w:val="14"/>
          <w:szCs w:val="14"/>
          <w:color w:val="auto"/>
        </w:rPr>
        <w:t>Late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-3175</wp:posOffset>
            </wp:positionV>
            <wp:extent cx="5829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jc w:val="center"/>
        <w:ind w:left="4760"/>
        <w:spacing w:after="0" w:line="222" w:lineRule="auto"/>
        <w:rPr>
          <w:sz w:val="20"/>
          <w:szCs w:val="20"/>
          <w:color w:val="auto"/>
        </w:rPr>
      </w:pPr>
      <w:r>
        <w:rPr>
          <w:rFonts w:ascii="Times New Roman" w:cs="Times New Roman" w:eastAsia="Times New Roman" w:hAnsi="Times New Roman"/>
          <w:sz w:val="14"/>
          <w:szCs w:val="14"/>
          <w:color w:val="auto"/>
        </w:rPr>
        <w:t>Check Here if</w:t>
      </w:r>
    </w:p>
    <w:p>
      <w:pPr>
        <w:jc w:val="center"/>
        <w:ind w:left="4760"/>
        <w:spacing w:after="0" w:line="222" w:lineRule="auto"/>
        <w:rPr>
          <w:sz w:val="20"/>
          <w:szCs w:val="20"/>
          <w:color w:val="auto"/>
        </w:rPr>
      </w:pPr>
      <w:r>
        <w:rPr>
          <w:rFonts w:ascii="Times New Roman" w:cs="Times New Roman" w:eastAsia="Times New Roman" w:hAnsi="Times New Roman"/>
          <w:sz w:val="14"/>
          <w:szCs w:val="14"/>
          <w:color w:val="auto"/>
        </w:rPr>
        <w:t>Late Participant</w:t>
      </w:r>
    </w:p>
    <w:p>
      <w:pPr>
        <w:jc w:val="center"/>
        <w:ind w:left="4760"/>
        <w:spacing w:after="0" w:line="221" w:lineRule="auto"/>
        <w:rPr>
          <w:sz w:val="20"/>
          <w:szCs w:val="20"/>
          <w:color w:val="auto"/>
        </w:rPr>
      </w:pPr>
      <w:r>
        <w:rPr>
          <w:rFonts w:ascii="Times New Roman" w:cs="Times New Roman" w:eastAsia="Times New Roman" w:hAnsi="Times New Roman"/>
          <w:sz w:val="14"/>
          <w:szCs w:val="14"/>
          <w:color w:val="auto"/>
        </w:rPr>
        <w:t>Loan</w:t>
      </w:r>
    </w:p>
    <w:p>
      <w:pPr>
        <w:jc w:val="center"/>
        <w:ind w:left="4760"/>
        <w:spacing w:after="0" w:line="234" w:lineRule="auto"/>
        <w:rPr>
          <w:sz w:val="20"/>
          <w:szCs w:val="20"/>
          <w:color w:val="auto"/>
        </w:rPr>
      </w:pPr>
      <w:r>
        <w:rPr>
          <w:rFonts w:ascii="Times New Roman" w:cs="Times New Roman" w:eastAsia="Times New Roman" w:hAnsi="Times New Roman"/>
          <w:sz w:val="14"/>
          <w:szCs w:val="14"/>
          <w:color w:val="auto"/>
        </w:rPr>
        <w:t>Payments are</w:t>
      </w:r>
    </w:p>
    <w:p>
      <w:pPr>
        <w:ind w:left="4860"/>
        <w:spacing w:after="0" w:line="161" w:lineRule="exact"/>
        <w:rPr>
          <w:sz w:val="20"/>
          <w:szCs w:val="20"/>
          <w:color w:val="auto"/>
        </w:rPr>
      </w:pPr>
      <w:r>
        <w:rPr>
          <w:rFonts w:ascii="Times New Roman" w:cs="Times New Roman" w:eastAsia="Times New Roman" w:hAnsi="Times New Roman"/>
          <w:sz w:val="14"/>
          <w:szCs w:val="14"/>
          <w:color w:val="auto"/>
        </w:rPr>
        <w:t xml:space="preserve">Included: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99516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tabs>
          <w:tab w:leader="none" w:pos="4740" w:val="left"/>
          <w:tab w:leader="none" w:pos="516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49,894</w:t>
      </w:r>
    </w:p>
    <w:p>
      <w:pPr>
        <w:spacing w:after="0" w:line="15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Total that Constitute</w:t>
      </w:r>
    </w:p>
    <w:p>
      <w:pPr>
        <w:jc w:val="center"/>
        <w:ind w:right="-19"/>
        <w:spacing w:after="0" w:line="226" w:lineRule="auto"/>
        <w:rPr>
          <w:sz w:val="20"/>
          <w:szCs w:val="20"/>
          <w:color w:val="auto"/>
        </w:rPr>
      </w:pPr>
      <w:r>
        <w:rPr>
          <w:rFonts w:ascii="Times New Roman" w:cs="Times New Roman" w:eastAsia="Times New Roman" w:hAnsi="Times New Roman"/>
          <w:sz w:val="14"/>
          <w:szCs w:val="14"/>
          <w:color w:val="auto"/>
        </w:rPr>
        <w:t>Nonexempt Prohibited</w:t>
      </w:r>
    </w:p>
    <w:p>
      <w:pPr>
        <w:jc w:val="center"/>
        <w:ind w:right="-19"/>
        <w:spacing w:after="0"/>
        <w:rPr>
          <w:sz w:val="20"/>
          <w:szCs w:val="20"/>
          <w:color w:val="auto"/>
        </w:rPr>
      </w:pPr>
      <w:r>
        <w:rPr>
          <w:rFonts w:ascii="Times New Roman" w:cs="Times New Roman" w:eastAsia="Times New Roman" w:hAnsi="Times New Roman"/>
          <w:sz w:val="14"/>
          <w:szCs w:val="14"/>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-3175</wp:posOffset>
            </wp:positionV>
            <wp:extent cx="1346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rPr>
              <w:t>Contributions</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Contributions</w:t>
            </w:r>
          </w:p>
        </w:tc>
        <w:tc>
          <w:tcPr>
            <w:tcW w:w="54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Total Fully</w:t>
            </w:r>
          </w:p>
        </w:tc>
        <w:tc>
          <w:tcPr>
            <w:tcW w:w="0" w:type="dxa"/>
            <w:vAlign w:val="bottom"/>
          </w:tcPr>
          <w:p>
            <w:pPr>
              <w:spacing w:after="0"/>
              <w:rPr>
                <w:sz w:val="1"/>
                <w:szCs w:val="1"/>
                <w:color w:val="auto"/>
              </w:rPr>
            </w:pPr>
          </w:p>
        </w:tc>
      </w:tr>
      <w:tr>
        <w:trPr>
          <w:trHeight w:val="148"/>
        </w:trPr>
        <w:tc>
          <w:tcPr>
            <w:tcW w:w="132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rPr>
              <w:t>Contributions</w:t>
            </w:r>
          </w:p>
        </w:tc>
        <w:tc>
          <w:tcPr>
            <w:tcW w:w="13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color w:val="auto"/>
              </w:rPr>
              <w:t>Corrected</w:t>
            </w:r>
          </w:p>
        </w:tc>
        <w:tc>
          <w:tcPr>
            <w:tcW w:w="0" w:type="dxa"/>
            <w:vAlign w:val="bottom"/>
          </w:tcPr>
          <w:p>
            <w:pPr>
              <w:spacing w:after="0"/>
              <w:rPr>
                <w:sz w:val="1"/>
                <w:szCs w:val="1"/>
                <w:color w:val="auto"/>
              </w:rPr>
            </w:pPr>
          </w:p>
        </w:tc>
      </w:tr>
      <w:tr>
        <w:trPr>
          <w:trHeight w:val="148"/>
        </w:trPr>
        <w:tc>
          <w:tcPr>
            <w:tcW w:w="1320" w:type="dxa"/>
            <w:vAlign w:val="bottom"/>
            <w:gridSpan w:val="3"/>
            <w:vMerge w:val="continue"/>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Corrected</w:t>
            </w:r>
          </w:p>
        </w:tc>
        <w:tc>
          <w:tcPr>
            <w:tcW w:w="80" w:type="dxa"/>
            <w:vAlign w:val="bottom"/>
          </w:tcPr>
          <w:p>
            <w:pPr>
              <w:spacing w:after="0"/>
              <w:rPr>
                <w:sz w:val="12"/>
                <w:szCs w:val="12"/>
                <w:color w:val="auto"/>
              </w:rPr>
            </w:pPr>
          </w:p>
        </w:tc>
        <w:tc>
          <w:tcPr>
            <w:tcW w:w="7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color w:val="auto"/>
              </w:rPr>
              <w:t>Pending</w:t>
            </w:r>
          </w:p>
        </w:tc>
        <w:tc>
          <w:tcPr>
            <w:tcW w:w="5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VFCP</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Not</w:t>
            </w:r>
          </w:p>
        </w:tc>
        <w:tc>
          <w:tcPr>
            <w:tcW w:w="13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Outside</w:t>
            </w:r>
          </w:p>
        </w:tc>
        <w:tc>
          <w:tcPr>
            <w:tcW w:w="80" w:type="dxa"/>
            <w:vAlign w:val="bottom"/>
          </w:tcPr>
          <w:p>
            <w:pPr>
              <w:spacing w:after="0"/>
              <w:rPr>
                <w:sz w:val="12"/>
                <w:szCs w:val="12"/>
                <w:color w:val="auto"/>
              </w:rPr>
            </w:pPr>
          </w:p>
        </w:tc>
        <w:tc>
          <w:tcPr>
            <w:tcW w:w="7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color w:val="auto"/>
              </w:rPr>
              <w:t>Correction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color w:val="auto"/>
              </w:rPr>
              <w:t>and</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Corrected</w:t>
            </w: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VFCP</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VFCP</w:t>
            </w:r>
          </w:p>
        </w:tc>
        <w:tc>
          <w:tcPr>
            <w:tcW w:w="5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PTE 2002-51</w:t>
            </w:r>
          </w:p>
        </w:tc>
        <w:tc>
          <w:tcPr>
            <w:tcW w:w="0" w:type="dxa"/>
            <w:vAlign w:val="bottom"/>
          </w:tcPr>
          <w:p>
            <w:pPr>
              <w:spacing w:after="0"/>
              <w:rPr>
                <w:sz w:val="1"/>
                <w:szCs w:val="1"/>
                <w:color w:val="auto"/>
              </w:rPr>
            </w:pPr>
          </w:p>
        </w:tc>
      </w:tr>
      <w:tr>
        <w:trPr>
          <w:trHeight w:val="228"/>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49,894</w:t>
            </w:r>
          </w:p>
        </w:tc>
        <w:tc>
          <w:tcPr>
            <w:tcW w:w="5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ectPr>
          <w:pgSz w:w="11900" w:h="16838" w:orient="portrait"/>
          <w:cols w:equalWidth="0" w:num="2">
            <w:col w:w="5680" w:space="520"/>
            <w:col w:w="4760"/>
          </w:cols>
          <w:pgMar w:left="440" w:top="270" w:right="49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7"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have duly caused this annual report to be signed on its behalf by the undersigned 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58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NOV Inc. 401(k) Plan</w:t>
            </w:r>
          </w:p>
        </w:tc>
      </w:tr>
      <w:tr>
        <w:trPr>
          <w:trHeight w:val="432"/>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2024</w:t>
            </w:r>
          </w:p>
        </w:tc>
        <w:tc>
          <w:tcPr>
            <w:tcW w:w="5860" w:type="dxa"/>
            <w:vAlign w:val="bottom"/>
            <w:gridSpan w:val="2"/>
          </w:tcPr>
          <w:p>
            <w:pPr>
              <w:ind w:left="78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Bonnie C. Houston</w:t>
            </w:r>
          </w:p>
        </w:tc>
      </w:tr>
      <w:tr>
        <w:trPr>
          <w:trHeight w:val="205"/>
        </w:trPr>
        <w:tc>
          <w:tcPr>
            <w:tcW w:w="51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Date</w:t>
            </w:r>
          </w:p>
        </w:tc>
        <w:tc>
          <w:tcPr>
            <w:tcW w:w="780" w:type="dxa"/>
            <w:vAlign w:val="bottom"/>
          </w:tcPr>
          <w:p>
            <w:pPr>
              <w:spacing w:after="0"/>
              <w:rPr>
                <w:sz w:val="17"/>
                <w:szCs w:val="17"/>
                <w:color w:val="auto"/>
              </w:rPr>
            </w:pPr>
          </w:p>
        </w:tc>
        <w:tc>
          <w:tcPr>
            <w:tcW w:w="5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Bonnie C. Houston</w:t>
            </w:r>
          </w:p>
        </w:tc>
      </w:tr>
      <w:tr>
        <w:trPr>
          <w:trHeight w:val="234"/>
        </w:trPr>
        <w:tc>
          <w:tcPr>
            <w:tcW w:w="5160" w:type="dxa"/>
            <w:vAlign w:val="bottom"/>
          </w:tcPr>
          <w:p>
            <w:pPr>
              <w:spacing w:after="0"/>
              <w:rPr>
                <w:sz w:val="20"/>
                <w:szCs w:val="20"/>
                <w:color w:val="auto"/>
              </w:rPr>
            </w:pPr>
          </w:p>
        </w:tc>
        <w:tc>
          <w:tcPr>
            <w:tcW w:w="5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Member of the NOV Inc. Benefits Plan Administrative Committee</w:t>
            </w:r>
          </w:p>
        </w:tc>
      </w:tr>
    </w:tbl>
    <w:p>
      <w:pPr>
        <w:sectPr>
          <w:pgSz w:w="11900" w:h="16838" w:orient="portrait"/>
          <w:cols w:equalWidth="0" w:num="1">
            <w:col w:w="11020"/>
          </w:cols>
          <w:pgMar w:left="440" w:top="266" w:right="439" w:bottom="1440" w:gutter="0" w:footer="0" w:header="0"/>
        </w:sectPr>
      </w:pPr>
    </w:p>
    <w:bookmarkStart w:id="20" w:name="page21"/>
    <w:bookmarkEnd w:id="20"/>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9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ectPr>
          <w:pgSz w:w="11900" w:h="16838" w:orient="portrait"/>
          <w:cols w:equalWidth="0" w:num="1">
            <w:col w:w="10019"/>
          </w:cols>
          <w:pgMar w:left="440" w:top="266" w:right="1440" w:bottom="1440" w:gutter="0" w:footer="0" w:header="0"/>
        </w:sectPr>
      </w:pPr>
    </w:p>
    <w:bookmarkStart w:id="21" w:name="page22"/>
    <w:bookmarkEnd w:id="21"/>
    <w:p>
      <w:pPr>
        <w:ind w:left="100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333-46459 on Form S-8 of our report dated June 26, 2024, appearing in this Annual Report on Form 11-K of the NOV Inc. 401(k) Plan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2024</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Weaver and Tidwell,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4400 Post Oak Parkway Suite 1100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Houston, Texas 77027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Main: 713.850.8787</w:t>
      </w:r>
    </w:p>
    <w:p>
      <w:pPr>
        <w:spacing w:after="0" w:line="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CPAs AND ADVISORS | WEAVER.COM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2024-06-26T14:44:30Z</dcterms:created>
  <dcterms:modified xsi:type="dcterms:W3CDTF">2024-06-26T14:44:30Z</dcterms:modified>
</cp:coreProperties>
</file>