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429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Weinstock Craig L.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VP. &amp; Gen. Counsel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291,883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02/19/2025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276,936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25,449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9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 equity award of time-based restricted stock units pursuant to the NOV Inc. Long-Term Incentive Plan, which will vest in 3 equal annual installments commencing on the first anniversary of the date of the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total number of shares that vested from the performance share awards granted to Mr. Weinstock on February 15,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withheld from the vesting of the performance share awards granted to Mr. Weinstock on February 15, 2022 to satisfy tax withholding liability.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awarded pursuant to the NOV Inc. Long-Term Incentive Plan, representing a right to purchase a total of 25,449 shares, will become exercisable in 3 equal annual installments beginning on February 19, 2026, which will be the first anniversary of the date on which the option was granted.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Craig L. Weinstock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9915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2025-02-21T10:50:03Z</dcterms:created>
  <dcterms:modified xsi:type="dcterms:W3CDTF">2025-02-21T10:50:03Z</dcterms:modified>
</cp:coreProperties>
</file>