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HARRISON DAVID 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10353 RICHMOND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NOV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NOV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11/20/2024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77042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4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8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0000FF"/>
              </w:rPr>
              <w:t>11/20/2024</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1,784</w:t>
            </w:r>
          </w:p>
        </w:tc>
        <w:tc>
          <w:tcPr>
            <w:tcW w:w="440" w:type="dxa"/>
            <w:vAlign w:val="bottom"/>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3"/>
                <w:szCs w:val="23"/>
                <w:color w:val="auto"/>
              </w:rPr>
            </w:pPr>
          </w:p>
        </w:tc>
        <w:tc>
          <w:tcPr>
            <w:tcW w:w="560" w:type="dxa"/>
            <w:vAlign w:val="bottom"/>
            <w:gridSpan w:val="4"/>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16.1</w:t>
            </w:r>
          </w:p>
        </w:tc>
        <w:tc>
          <w:tcPr>
            <w:tcW w:w="1200" w:type="dxa"/>
            <w:vAlign w:val="bottom"/>
            <w:gridSpan w:val="4"/>
          </w:tcPr>
          <w:p>
            <w:pPr>
              <w:ind w:left="300"/>
              <w:spacing w:after="0"/>
              <w:rPr>
                <w:sz w:val="20"/>
                <w:szCs w:val="20"/>
                <w:color w:val="auto"/>
              </w:rPr>
            </w:pPr>
            <w:r>
              <w:rPr>
                <w:rFonts w:ascii="Times New Roman" w:cs="Times New Roman" w:eastAsia="Times New Roman" w:hAnsi="Times New Roman"/>
                <w:sz w:val="17"/>
                <w:szCs w:val="17"/>
                <w:color w:val="0000FF"/>
              </w:rPr>
              <w:t>110,951</w:t>
            </w:r>
          </w:p>
        </w:tc>
        <w:tc>
          <w:tcPr>
            <w:tcW w:w="260" w:type="dxa"/>
            <w:vAlign w:val="bottom"/>
          </w:tcPr>
          <w:p>
            <w:pPr>
              <w:spacing w:after="0"/>
              <w:rPr>
                <w:sz w:val="23"/>
                <w:szCs w:val="23"/>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5040" w:type="dxa"/>
            <w:vAlign w:val="bottom"/>
            <w:tcBorders>
              <w:bottom w:val="single" w:sz="8" w:color="2C2C2C"/>
            </w:tcBorders>
            <w:gridSpan w:val="7"/>
          </w:tcPr>
          <w:p>
            <w:pPr>
              <w:spacing w:after="0"/>
              <w:rPr>
                <w:sz w:val="8"/>
                <w:szCs w:val="8"/>
                <w:color w:val="auto"/>
              </w:rPr>
            </w:pPr>
          </w:p>
        </w:tc>
        <w:tc>
          <w:tcPr>
            <w:tcW w:w="1280" w:type="dxa"/>
            <w:vAlign w:val="bottom"/>
            <w:tcBorders>
              <w:bottom w:val="single" w:sz="8" w:color="2C2C2C"/>
            </w:tcBorders>
            <w:gridSpan w:val="4"/>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gridSpan w:val="3"/>
          </w:tcPr>
          <w:p>
            <w:pPr>
              <w:spacing w:after="0"/>
              <w:rPr>
                <w:sz w:val="8"/>
                <w:szCs w:val="8"/>
                <w:color w:val="auto"/>
              </w:rPr>
            </w:pPr>
          </w:p>
        </w:tc>
        <w:tc>
          <w:tcPr>
            <w:tcW w:w="320" w:type="dxa"/>
            <w:vAlign w:val="bottom"/>
            <w:tcBorders>
              <w:bottom w:val="single" w:sz="8" w:color="2C2C2C"/>
            </w:tcBorders>
            <w:gridSpan w:val="2"/>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8"/>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4"/>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gridSpan w:val="3"/>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20" w:type="dxa"/>
            <w:vAlign w:val="bottom"/>
            <w:gridSpan w:val="2"/>
          </w:tcPr>
          <w:p>
            <w:pPr>
              <w:ind w:left="20"/>
              <w:spacing w:after="0"/>
              <w:rPr>
                <w:sz w:val="20"/>
                <w:szCs w:val="20"/>
                <w:color w:val="auto"/>
              </w:rPr>
            </w:pPr>
            <w:r>
              <w:rPr>
                <w:rFonts w:ascii="Arial" w:cs="Arial" w:eastAsia="Arial" w:hAnsi="Arial"/>
                <w:sz w:val="17"/>
                <w:szCs w:val="17"/>
                <w:b w:val="1"/>
                <w:bCs w:val="1"/>
                <w:color w:val="auto"/>
              </w:rPr>
              <w:t>Remarks:</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008000"/>
              </w:rPr>
              <w:t>See Exhibit 24.1 - Power of Attorney.</w:t>
            </w: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By: Peter F. Vranderic For:</w:t>
            </w:r>
          </w:p>
        </w:tc>
        <w:tc>
          <w:tcPr>
            <w:tcW w:w="1680" w:type="dxa"/>
            <w:vAlign w:val="bottom"/>
            <w:gridSpan w:val="4"/>
            <w:vMerge w:val="restart"/>
          </w:tcPr>
          <w:p>
            <w:pPr>
              <w:ind w:left="200"/>
              <w:spacing w:after="0"/>
              <w:rPr>
                <w:sz w:val="20"/>
                <w:szCs w:val="20"/>
                <w:color w:val="auto"/>
              </w:rPr>
            </w:pPr>
            <w:r>
              <w:rPr>
                <w:rFonts w:ascii="Times New Roman" w:cs="Times New Roman" w:eastAsia="Times New Roman" w:hAnsi="Times New Roman"/>
                <w:sz w:val="17"/>
                <w:szCs w:val="17"/>
                <w:color w:val="0000FF"/>
              </w:rPr>
              <w:t>11/21/2024</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300" w:type="dxa"/>
            <w:vAlign w:val="bottom"/>
            <w:tcBorders>
              <w:top w:val="single" w:sz="8" w:color="auto"/>
            </w:tcBorders>
            <w:gridSpan w:val="5"/>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David D. Harrison</w:t>
            </w:r>
          </w:p>
        </w:tc>
        <w:tc>
          <w:tcPr>
            <w:tcW w:w="60" w:type="dxa"/>
            <w:vAlign w:val="bottom"/>
            <w:tcBorders>
              <w:top w:val="single" w:sz="8" w:color="auto"/>
            </w:tcBorders>
            <w:vMerge w:val="restart"/>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680" w:type="dxa"/>
            <w:vAlign w:val="bottom"/>
            <w:gridSpan w:val="4"/>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300" w:type="dxa"/>
            <w:vAlign w:val="bottom"/>
            <w:tcBorders>
              <w:top w:val="single" w:sz="8" w:color="auto"/>
              <w:bottom w:val="single" w:sz="8" w:color="auto"/>
            </w:tcBorders>
            <w:gridSpan w:val="5"/>
            <w:vMerge w:val="continue"/>
          </w:tcPr>
          <w:p>
            <w:pPr>
              <w:spacing w:after="0"/>
              <w:rPr>
                <w:sz w:val="7"/>
                <w:szCs w:val="7"/>
                <w:color w:val="auto"/>
              </w:rPr>
            </w:pPr>
          </w:p>
        </w:tc>
        <w:tc>
          <w:tcPr>
            <w:tcW w:w="60" w:type="dxa"/>
            <w:vAlign w:val="bottom"/>
            <w:tcBorders>
              <w:top w:val="single" w:sz="8" w:color="auto"/>
            </w:tcBorders>
            <w:vMerge w:val="continue"/>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gridSpan w:val="9"/>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gridSpan w:val="2"/>
          </w:tcPr>
          <w:p>
            <w:pPr>
              <w:ind w:left="200"/>
              <w:spacing w:after="0"/>
              <w:rPr>
                <w:sz w:val="20"/>
                <w:szCs w:val="20"/>
                <w:color w:val="auto"/>
              </w:rPr>
            </w:pPr>
            <w:r>
              <w:rPr>
                <w:rFonts w:ascii="Arial" w:cs="Arial" w:eastAsia="Arial" w:hAnsi="Arial"/>
                <w:sz w:val="13"/>
                <w:szCs w:val="13"/>
                <w:color w:val="auto"/>
              </w:rPr>
              <w:t>Date</w:t>
            </w: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-2661920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Know all by these presents that the undersigned hereby constitutes and appoints each of Craig L. Weinstock, Peter F. Vranderic,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Brigitte M. Hunt, or any of them signing singly, and with full power of substitution, as the undersigned's true and lawful attorney-in-fact to:</w:t>
      </w:r>
    </w:p>
    <w:p>
      <w:pPr>
        <w:spacing w:after="0" w:line="177" w:lineRule="exact"/>
        <w:rPr>
          <w:sz w:val="20"/>
          <w:szCs w:val="20"/>
          <w:color w:val="auto"/>
        </w:rPr>
      </w:pPr>
    </w:p>
    <w:p>
      <w:pPr>
        <w:jc w:val="both"/>
        <w:ind w:left="1720" w:right="20" w:hanging="847"/>
        <w:spacing w:after="0" w:line="246" w:lineRule="auto"/>
        <w:tabs>
          <w:tab w:leader="none" w:pos="1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an officer and/or director of NOV Inc. (the “</w:t>
      </w:r>
      <w:r>
        <w:rPr>
          <w:rFonts w:ascii="Arial" w:cs="Arial" w:eastAsia="Arial" w:hAnsi="Arial"/>
          <w:sz w:val="18"/>
          <w:szCs w:val="18"/>
          <w:u w:val="single" w:color="auto"/>
          <w:color w:val="auto"/>
        </w:rPr>
        <w:t>Company</w:t>
      </w:r>
      <w:r>
        <w:rPr>
          <w:rFonts w:ascii="Arial" w:cs="Arial" w:eastAsia="Arial" w:hAnsi="Arial"/>
          <w:sz w:val="18"/>
          <w:szCs w:val="18"/>
          <w:color w:val="auto"/>
        </w:rPr>
        <w:t>”), Forms 3, 4, and 5 in accordance with Section 16(a) of the Securities Exchange Act of 1934 and the rules thereunder;</w:t>
      </w:r>
    </w:p>
    <w:p>
      <w:pPr>
        <w:spacing w:after="0" w:line="163" w:lineRule="exact"/>
        <w:rPr>
          <w:rFonts w:ascii="Arial" w:cs="Arial" w:eastAsia="Arial" w:hAnsi="Arial"/>
          <w:sz w:val="18"/>
          <w:szCs w:val="18"/>
          <w:color w:val="auto"/>
        </w:rPr>
      </w:pPr>
    </w:p>
    <w:p>
      <w:pPr>
        <w:jc w:val="both"/>
        <w:ind w:left="1720" w:right="20" w:hanging="847"/>
        <w:spacing w:after="0" w:line="241" w:lineRule="auto"/>
        <w:tabs>
          <w:tab w:leader="none" w:pos="1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168" w:lineRule="exact"/>
        <w:rPr>
          <w:rFonts w:ascii="Arial" w:cs="Arial" w:eastAsia="Arial" w:hAnsi="Arial"/>
          <w:sz w:val="18"/>
          <w:szCs w:val="18"/>
          <w:color w:val="auto"/>
        </w:rPr>
      </w:pPr>
    </w:p>
    <w:p>
      <w:pPr>
        <w:jc w:val="both"/>
        <w:ind w:left="1720" w:right="20" w:hanging="847"/>
        <w:spacing w:after="0" w:line="239" w:lineRule="auto"/>
        <w:tabs>
          <w:tab w:leader="none" w:pos="1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6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68" w:lineRule="exact"/>
        <w:rPr>
          <w:sz w:val="20"/>
          <w:szCs w:val="20"/>
          <w:color w:val="auto"/>
        </w:rPr>
      </w:pPr>
    </w:p>
    <w:p>
      <w:pPr>
        <w:jc w:val="both"/>
        <w:ind w:right="20"/>
        <w:spacing w:after="0" w:line="241"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supersedes all previous Powers of Attorney relating to the subject matter hereof.</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17th day of June 2024.</w:t>
      </w:r>
    </w:p>
    <w:p>
      <w:pPr>
        <w:spacing w:after="0" w:line="39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David D. Harrison</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-128270</wp:posOffset>
            </wp:positionV>
            <wp:extent cx="21577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157730" cy="8255"/>
                    </a:xfrm>
                    <a:prstGeom prst="rect">
                      <a:avLst/>
                    </a:prstGeom>
                    <a:noFill/>
                  </pic:spPr>
                </pic:pic>
              </a:graphicData>
            </a:graphic>
          </wp:anchor>
        </w:drawing>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D. Harrison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21577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157730" cy="8255"/>
                    </a:xfrm>
                    <a:prstGeom prst="rect">
                      <a:avLst/>
                    </a:prstGeom>
                    <a:noFill/>
                  </pic:spPr>
                </pic:pic>
              </a:graphicData>
            </a:graphic>
          </wp:anchor>
        </w:drawing>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1013460</wp:posOffset>
            </wp:positionV>
            <wp:extent cx="698944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sectPr>
      <w:pgSz w:w="11900" w:h="16838" w:orient="portrait"/>
      <w:cols w:equalWidth="0" w:num="1">
        <w:col w:w="10980"/>
      </w:cols>
      <w:pgMar w:left="460" w:top="140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89046" TargetMode="External"/><Relationship Id="rId14" Type="http://schemas.openxmlformats.org/officeDocument/2006/relationships/hyperlink" Target="http://www.sec.gov/cgi-bin/browse-edgar?action=getcompany&amp;CIK=00010218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2024-11-21T10:35:04Z</dcterms:created>
  <dcterms:modified xsi:type="dcterms:W3CDTF">2024-11-21T10:35:04Z</dcterms:modified>
</cp:coreProperties>
</file>