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ov-20260630.htm"/>
      <w:bookmarkStart w:id="1" w:name="ksnov20260630"/>
      <w:bookmarkEnd w:id="0"/>
      <w:bookmarkEnd w:id="1"/>
      <w:r>
        <w:rPr/>
        <w:t> </w:t>
      </w:r>
    </w:p>
    <w:p>
      <w:pPr>
        <w:pStyle w:val="TextBody"/>
        <w:pBdr>
          <w:bottom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aps/>
          <w:color w:val="000000"/>
          <w:sz w:val="20"/>
        </w:rPr>
        <w:t xml:space="preserve"> </w:t>
      </w:r>
      <w:r>
        <w:rPr>
          <w:rFonts w:ascii="Times New Roman" w:hAnsi="Times New Roman"/>
          <w:b/>
          <w:caps/>
          <w:color w:val="000000"/>
          <w:sz w:val="20"/>
        </w:rPr>
        <w:t>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1-12317</w:t>
      </w:r>
    </w:p>
    <w:p>
      <w:pPr>
        <w:pStyle w:val="TextBody"/>
        <w:pBdr>
          <w:top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NOV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top w:val="single" w:sz="4" w:space="1" w:color="000000"/>
        </w:pBdr>
        <w:bidi w:val="0"/>
        <w:jc w:val="center"/>
        <w:rPr/>
      </w:pPr>
      <w:r>
        <w:rPr/>
        <w:t> </w:t>
      </w:r>
    </w:p>
    <w:p>
      <w:pPr>
        <w:pStyle w:val="TextBody"/>
        <w:bidi w:val="0"/>
        <w:jc w:val="left"/>
        <w:rPr/>
      </w:pPr>
      <w:r>
        <w:rPr/>
        <w:t> </w:t>
      </w:r>
    </w:p>
    <w:tbl>
      <w:tblPr>
        <w:tblW w:w="5608" w:type="dxa"/>
        <w:jc w:val="left"/>
        <w:tblInd w:w="0" w:type="dxa"/>
        <w:tblLayout w:type="fixed"/>
        <w:tblCellMar>
          <w:top w:w="28" w:type="dxa"/>
          <w:left w:w="28" w:type="dxa"/>
          <w:bottom w:w="28" w:type="dxa"/>
          <w:right w:w="28" w:type="dxa"/>
        </w:tblCellMar>
      </w:tblPr>
      <w:tblGrid>
        <w:gridCol w:w="2566"/>
        <w:gridCol w:w="1556"/>
        <w:gridCol w:w="1486"/>
      </w:tblGrid>
      <w:tr>
        <w:trPr/>
        <w:tc>
          <w:tcPr>
            <w:tcW w:w="256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556"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334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33450" cy="342900"/>
                          </a:xfrm>
                          <a:prstGeom prst="rect">
                            <a:avLst/>
                          </a:prstGeom>
                        </pic:spPr>
                      </pic:pic>
                    </a:graphicData>
                  </a:graphic>
                </wp:inline>
              </w:drawing>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76-0475815</w:t>
            </w:r>
          </w:p>
        </w:tc>
      </w:tr>
      <w:tr>
        <w:trPr/>
        <w:tc>
          <w:tcPr>
            <w:tcW w:w="25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 or organization)</w:t>
            </w:r>
          </w:p>
        </w:tc>
        <w:tc>
          <w:tcPr>
            <w:tcW w:w="1556" w:type="dxa"/>
            <w:vMerge w:val="continue"/>
            <w:tcBorders/>
            <w:tcMar>
              <w:top w:w="0" w:type="dxa"/>
              <w:left w:w="0" w:type="dxa"/>
              <w:bottom w:w="0" w:type="dxa"/>
              <w:right w:w="0" w:type="dxa"/>
            </w:tcMar>
            <w:vAlign w:val="center"/>
          </w:tcPr>
          <w:p>
            <w:pPr>
              <w:pStyle w:val="Normal"/>
              <w:bidi w:val="0"/>
              <w:jc w:val="left"/>
              <w:rPr/>
            </w:pPr>
            <w:r>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10353 Richmond Avenue</w:t>
        <w:br/>
        <w:t>Houston, Texas</w:t>
      </w:r>
    </w:p>
    <w:p>
      <w:pPr>
        <w:pStyle w:val="TextBody"/>
        <w:bidi w:val="0"/>
        <w:jc w:val="center"/>
        <w:rPr>
          <w:rFonts w:ascii="Times New Roman" w:hAnsi="Times New Roman"/>
          <w:b/>
          <w:color w:val="000000"/>
          <w:sz w:val="20"/>
        </w:rPr>
      </w:pPr>
      <w:r>
        <w:rPr>
          <w:rFonts w:ascii="Times New Roman" w:hAnsi="Times New Roman"/>
          <w:b/>
          <w:color w:val="000000"/>
          <w:sz w:val="20"/>
        </w:rPr>
        <w:t>77042-4103</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(346) 223-3000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top w:val="single" w:sz="4" w:space="1" w:color="000000"/>
        </w:pBdr>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743" w:type="dxa"/>
        <w:jc w:val="left"/>
        <w:tblInd w:w="0" w:type="dxa"/>
        <w:tblLayout w:type="fixed"/>
        <w:tblCellMar>
          <w:top w:w="28" w:type="dxa"/>
          <w:left w:w="28" w:type="dxa"/>
          <w:bottom w:w="28" w:type="dxa"/>
          <w:right w:w="28" w:type="dxa"/>
        </w:tblCellMar>
      </w:tblPr>
      <w:tblGrid>
        <w:gridCol w:w="2971"/>
        <w:gridCol w:w="1456"/>
        <w:gridCol w:w="3316"/>
      </w:tblGrid>
      <w:tr>
        <w:trPr/>
        <w:tc>
          <w:tcPr>
            <w:tcW w:w="297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7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7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6797" w:type="dxa"/>
        <w:jc w:val="left"/>
        <w:tblInd w:w="0" w:type="dxa"/>
        <w:tblLayout w:type="fixed"/>
        <w:tblCellMar>
          <w:top w:w="28" w:type="dxa"/>
          <w:left w:w="28" w:type="dxa"/>
          <w:bottom w:w="28" w:type="dxa"/>
          <w:right w:w="28" w:type="dxa"/>
        </w:tblCellMar>
      </w:tblPr>
      <w:tblGrid>
        <w:gridCol w:w="2026"/>
        <w:gridCol w:w="316"/>
        <w:gridCol w:w="146"/>
        <w:gridCol w:w="2026"/>
        <w:gridCol w:w="316"/>
        <w:gridCol w:w="1606"/>
        <w:gridCol w:w="361"/>
      </w:tblGrid>
      <w:tr>
        <w:trPr/>
        <w:tc>
          <w:tcPr>
            <w:tcW w:w="20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Non-accelerated filer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July 24, 2026 the registrant had 356,478,125 shares of common stock, par value $0.01 per share, outstanding.</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NOV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4"/>
        <w:gridCol w:w="146"/>
        <w:gridCol w:w="223"/>
        <w:gridCol w:w="718"/>
        <w:gridCol w:w="166"/>
        <w:gridCol w:w="146"/>
        <w:gridCol w:w="232"/>
        <w:gridCol w:w="746"/>
        <w:gridCol w:w="794"/>
      </w:tblGrid>
      <w:tr>
        <w:trPr/>
        <w:tc>
          <w:tcPr>
            <w:tcW w:w="7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par value $.01; 1 billion shares authorized; 357,299,308 and 360,803,354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Company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INCOME (UNAUDITED)</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rPr/>
      </w:pPr>
      <w:r>
        <w:rPr/>
        <w:t> </w:t>
      </w:r>
    </w:p>
    <w:tbl>
      <w:tblPr>
        <w:tblW w:w="9445" w:type="dxa"/>
        <w:jc w:val="left"/>
        <w:tblInd w:w="0" w:type="dxa"/>
        <w:tblLayout w:type="fixed"/>
        <w:tblCellMar>
          <w:top w:w="28" w:type="dxa"/>
          <w:left w:w="28" w:type="dxa"/>
          <w:bottom w:w="28" w:type="dxa"/>
          <w:right w:w="28" w:type="dxa"/>
        </w:tblCellMar>
      </w:tblPr>
      <w:tblGrid>
        <w:gridCol w:w="4246"/>
        <w:gridCol w:w="146"/>
        <w:gridCol w:w="254"/>
        <w:gridCol w:w="689"/>
        <w:gridCol w:w="200"/>
        <w:gridCol w:w="176"/>
        <w:gridCol w:w="254"/>
        <w:gridCol w:w="689"/>
        <w:gridCol w:w="166"/>
        <w:gridCol w:w="146"/>
        <w:gridCol w:w="232"/>
        <w:gridCol w:w="630"/>
        <w:gridCol w:w="183"/>
        <w:gridCol w:w="161"/>
        <w:gridCol w:w="232"/>
        <w:gridCol w:w="630"/>
        <w:gridCol w:w="4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financial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income (loss)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Company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COMPREHENSIVE INCOME (UNAUDITED)</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091"/>
        <w:gridCol w:w="146"/>
        <w:gridCol w:w="299"/>
        <w:gridCol w:w="597"/>
        <w:gridCol w:w="235"/>
        <w:gridCol w:w="206"/>
        <w:gridCol w:w="299"/>
        <w:gridCol w:w="597"/>
        <w:gridCol w:w="146"/>
        <w:gridCol w:w="146"/>
        <w:gridCol w:w="274"/>
        <w:gridCol w:w="547"/>
        <w:gridCol w:w="215"/>
        <w:gridCol w:w="189"/>
        <w:gridCol w:w="274"/>
        <w:gridCol w:w="547"/>
        <w:gridCol w:w="397"/>
      </w:tblGrid>
      <w:tr>
        <w:trPr/>
        <w:tc>
          <w:tcPr>
            <w:tcW w:w="5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derivative financial instruments,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defined benefit plans,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 attributable to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20"/>
        <w:gridCol w:w="146"/>
        <w:gridCol w:w="229"/>
        <w:gridCol w:w="623"/>
        <w:gridCol w:w="181"/>
        <w:gridCol w:w="159"/>
        <w:gridCol w:w="229"/>
        <w:gridCol w:w="623"/>
        <w:gridCol w:w="995"/>
      </w:tblGrid>
      <w:tr>
        <w:trPr/>
        <w:tc>
          <w:tcPr>
            <w:tcW w:w="7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6"/>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 net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sales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9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against lines of credit and other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payments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 (UNAUDITED)</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3"/>
        <w:gridCol w:w="146"/>
        <w:gridCol w:w="205"/>
        <w:gridCol w:w="531"/>
        <w:gridCol w:w="166"/>
        <w:gridCol w:w="146"/>
        <w:gridCol w:w="211"/>
        <w:gridCol w:w="375"/>
        <w:gridCol w:w="146"/>
        <w:gridCol w:w="146"/>
        <w:gridCol w:w="196"/>
        <w:gridCol w:w="511"/>
        <w:gridCol w:w="166"/>
        <w:gridCol w:w="146"/>
        <w:gridCol w:w="234"/>
        <w:gridCol w:w="682"/>
        <w:gridCol w:w="166"/>
        <w:gridCol w:w="146"/>
        <w:gridCol w:w="196"/>
        <w:gridCol w:w="436"/>
        <w:gridCol w:w="166"/>
        <w:gridCol w:w="146"/>
        <w:gridCol w:w="224"/>
        <w:gridCol w:w="587"/>
        <w:gridCol w:w="166"/>
        <w:gridCol w:w="146"/>
        <w:gridCol w:w="314"/>
        <w:gridCol w:w="557"/>
        <w:gridCol w:w="166"/>
        <w:gridCol w:w="146"/>
        <w:gridCol w:w="224"/>
        <w:gridCol w:w="587"/>
        <w:gridCol w:w="212"/>
      </w:tblGrid>
      <w:tr>
        <w:trPr/>
        <w:tc>
          <w:tcPr>
            <w:tcW w:w="1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 Issued</w:t>
              <w:br/>
              <w:t xml:space="preserve"> and </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Company</w:t>
              <w:br/>
              <w:t>Stockholders’</w:t>
              <w:b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b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$0.09</w:t>
            </w:r>
            <w:r>
              <w:rPr>
                <w:rFonts w:ascii="Times New Roman" w:hAnsi="Times New Roman"/>
                <w:color w:val="000000"/>
                <w:sz w:val="20"/>
              </w:rPr>
              <w:t> </w:t>
            </w:r>
            <w:r>
              <w:rPr>
                <w:rFonts w:ascii="Times New Roman" w:hAnsi="Times New Roman"/>
                <w:color w:val="000000"/>
                <w:sz w:val="18"/>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$0.18</w:t>
            </w:r>
            <w:r>
              <w:rPr>
                <w:rFonts w:ascii="Times New Roman" w:hAnsi="Times New Roman"/>
                <w:color w:val="000000"/>
                <w:sz w:val="20"/>
              </w:rPr>
              <w:t> </w:t>
            </w:r>
            <w:r>
              <w:rPr>
                <w:rFonts w:ascii="Times New Roman" w:hAnsi="Times New Roman"/>
                <w:color w:val="000000"/>
                <w:sz w:val="18"/>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Transactions with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3"/>
        <w:gridCol w:w="146"/>
        <w:gridCol w:w="205"/>
        <w:gridCol w:w="531"/>
        <w:gridCol w:w="166"/>
        <w:gridCol w:w="146"/>
        <w:gridCol w:w="211"/>
        <w:gridCol w:w="375"/>
        <w:gridCol w:w="146"/>
        <w:gridCol w:w="146"/>
        <w:gridCol w:w="196"/>
        <w:gridCol w:w="511"/>
        <w:gridCol w:w="166"/>
        <w:gridCol w:w="146"/>
        <w:gridCol w:w="234"/>
        <w:gridCol w:w="682"/>
        <w:gridCol w:w="166"/>
        <w:gridCol w:w="146"/>
        <w:gridCol w:w="196"/>
        <w:gridCol w:w="436"/>
        <w:gridCol w:w="166"/>
        <w:gridCol w:w="146"/>
        <w:gridCol w:w="224"/>
        <w:gridCol w:w="587"/>
        <w:gridCol w:w="166"/>
        <w:gridCol w:w="146"/>
        <w:gridCol w:w="314"/>
        <w:gridCol w:w="557"/>
        <w:gridCol w:w="166"/>
        <w:gridCol w:w="146"/>
        <w:gridCol w:w="224"/>
        <w:gridCol w:w="587"/>
        <w:gridCol w:w="212"/>
      </w:tblGrid>
      <w:tr>
        <w:trPr/>
        <w:tc>
          <w:tcPr>
            <w:tcW w:w="1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 Issued</w:t>
              <w:br/>
              <w:t xml:space="preserve"> and </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Company</w:t>
              <w:br/>
              <w:t>Stockholders’</w:t>
              <w:b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b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$0.075</w:t>
            </w:r>
            <w:r>
              <w:rPr>
                <w:rFonts w:ascii="Times New Roman" w:hAnsi="Times New Roman"/>
                <w:color w:val="000000"/>
                <w:sz w:val="20"/>
              </w:rPr>
              <w:t> </w:t>
            </w:r>
            <w:r>
              <w:rPr>
                <w:rFonts w:ascii="Times New Roman" w:hAnsi="Times New Roman"/>
                <w:color w:val="000000"/>
                <w:sz w:val="18"/>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$0.285</w:t>
            </w:r>
            <w:r>
              <w:rPr>
                <w:rFonts w:ascii="Times New Roman" w:hAnsi="Times New Roman"/>
                <w:color w:val="000000"/>
                <w:sz w:val="20"/>
              </w:rPr>
              <w:t> </w:t>
            </w:r>
            <w:r>
              <w:rPr>
                <w:rFonts w:ascii="Times New Roman" w:hAnsi="Times New Roman"/>
                <w:color w:val="000000"/>
                <w:sz w:val="18"/>
              </w:rPr>
              <w:t>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Transactions with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consolidated financial statements of NOV Inc. (“NOV” or the “Company”) present information in accordance with generally accepted accounting principles in the United States (“GAAP”) for interim financial information and the instructions to Form 10-Q and applicable rules of Regulation S-X. They do not include all information or footnotes required by GAAP for complete consolidated financial statements and should be read in conjunction with the audited consolidated financial statements and footnotes included in the Company’s 2025 Annual Report on Form 10-K. Certain reclassifications have been made to prior period financial information in order to conform with current period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our opinion, the consolidated financial statements include all adjustments, which are of a normal recurring nature unless otherwise disclosed, necessary for a fair presentation of the results for the interim periods. The results of operations for the three and six months ended June 30, 2026 are not necessarily indicative of the results to be expected for the full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reported and contingent amounts of assets and liabilities as of the date of the financial statements and reported amounts of revenues and expenses during the reporting period. Actual results could differ from those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cash and cash equivalents, receivables and payables were approximately the same as their presented carrying values because of the short maturities of these instruments. The fair value of long-term debt is provided in Note 8, and the fair values of derivative financial instruments are provided in Note 11.</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 Inventories, net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Inventories consist of (in millions):</w:t>
      </w:r>
    </w:p>
    <w:tbl>
      <w:tblPr>
        <w:tblW w:w="6825" w:type="dxa"/>
        <w:jc w:val="left"/>
        <w:tblInd w:w="0" w:type="dxa"/>
        <w:tblLayout w:type="fixed"/>
        <w:tblCellMar>
          <w:top w:w="28" w:type="dxa"/>
          <w:left w:w="28" w:type="dxa"/>
          <w:bottom w:w="28" w:type="dxa"/>
          <w:right w:w="28" w:type="dxa"/>
        </w:tblCellMar>
      </w:tblPr>
      <w:tblGrid>
        <w:gridCol w:w="3331"/>
        <w:gridCol w:w="146"/>
        <w:gridCol w:w="303"/>
        <w:gridCol w:w="822"/>
        <w:gridCol w:w="166"/>
        <w:gridCol w:w="146"/>
        <w:gridCol w:w="403"/>
        <w:gridCol w:w="1097"/>
        <w:gridCol w:w="4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and purchased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 Accrued Liabilities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liabilities consist of (in millions):</w:t>
      </w:r>
    </w:p>
    <w:tbl>
      <w:tblPr>
        <w:tblW w:w="5195" w:type="dxa"/>
        <w:jc w:val="left"/>
        <w:tblInd w:w="0" w:type="dxa"/>
        <w:tblLayout w:type="fixed"/>
        <w:tblCellMar>
          <w:top w:w="28" w:type="dxa"/>
          <w:left w:w="28" w:type="dxa"/>
          <w:bottom w:w="28" w:type="dxa"/>
          <w:right w:w="28" w:type="dxa"/>
        </w:tblCellMar>
      </w:tblPr>
      <w:tblGrid>
        <w:gridCol w:w="1741"/>
        <w:gridCol w:w="146"/>
        <w:gridCol w:w="375"/>
        <w:gridCol w:w="750"/>
        <w:gridCol w:w="146"/>
        <w:gridCol w:w="146"/>
        <w:gridCol w:w="499"/>
        <w:gridCol w:w="1001"/>
        <w:gridCol w:w="3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(non-income)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 Accumulated Other Comprehensive Loss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components of accumulated other comprehensive loss are as follows (in millions):</w:t>
      </w:r>
    </w:p>
    <w:tbl>
      <w:tblPr>
        <w:tblW w:w="10205" w:type="dxa"/>
        <w:jc w:val="left"/>
        <w:tblInd w:w="0" w:type="dxa"/>
        <w:tblLayout w:type="fixed"/>
        <w:tblCellMar>
          <w:top w:w="28" w:type="dxa"/>
          <w:left w:w="28" w:type="dxa"/>
          <w:bottom w:w="28" w:type="dxa"/>
          <w:right w:w="28" w:type="dxa"/>
        </w:tblCellMar>
      </w:tblPr>
      <w:tblGrid>
        <w:gridCol w:w="4992"/>
        <w:gridCol w:w="146"/>
        <w:gridCol w:w="252"/>
        <w:gridCol w:w="754"/>
        <w:gridCol w:w="166"/>
        <w:gridCol w:w="146"/>
        <w:gridCol w:w="375"/>
        <w:gridCol w:w="622"/>
        <w:gridCol w:w="166"/>
        <w:gridCol w:w="146"/>
        <w:gridCol w:w="312"/>
        <w:gridCol w:w="560"/>
        <w:gridCol w:w="166"/>
        <w:gridCol w:w="146"/>
        <w:gridCol w:w="211"/>
        <w:gridCol w:w="631"/>
        <w:gridCol w:w="414"/>
      </w:tblGrid>
      <w:tr>
        <w:trPr/>
        <w:tc>
          <w:tcPr>
            <w:tcW w:w="4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Instruments,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amounts reclassified from accumulated other comprehensive loss during the three and six months ended June 30, 2026 represent gains and losses reclassified on cash flow hedges when the hedged transaction occurs (see Note 11 to the Consolidated Financial Statements for further discussion) and the amortization of net actuarial gains and losses, prior service credits, settlements, and curtailments, which are included in the computation of net periodic pension cost.</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 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two reportable segments, Energy Equipment and Energy Products and Services, based on the products and services provided, customer base, and operating environment. These reportable segments are determined as those businesses for which results are reviewed regularly by our Chief Executive Officer, who is identified as the Chief Operating Decision Maker (“CODM”), in allocating resources and assessing performance.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tables present financial data by business segment (in millions):</w:t>
      </w:r>
    </w:p>
    <w:tbl>
      <w:tblPr>
        <w:tblW w:w="10205" w:type="dxa"/>
        <w:jc w:val="left"/>
        <w:tblInd w:w="0" w:type="dxa"/>
        <w:tblLayout w:type="fixed"/>
        <w:tblCellMar>
          <w:top w:w="28" w:type="dxa"/>
          <w:left w:w="28" w:type="dxa"/>
          <w:bottom w:w="28" w:type="dxa"/>
          <w:right w:w="28" w:type="dxa"/>
        </w:tblCellMar>
      </w:tblPr>
      <w:tblGrid>
        <w:gridCol w:w="2661"/>
        <w:gridCol w:w="146"/>
        <w:gridCol w:w="335"/>
        <w:gridCol w:w="878"/>
        <w:gridCol w:w="166"/>
        <w:gridCol w:w="146"/>
        <w:gridCol w:w="640"/>
        <w:gridCol w:w="1230"/>
        <w:gridCol w:w="166"/>
        <w:gridCol w:w="146"/>
        <w:gridCol w:w="335"/>
        <w:gridCol w:w="878"/>
        <w:gridCol w:w="166"/>
        <w:gridCol w:w="146"/>
        <w:gridCol w:w="519"/>
        <w:gridCol w:w="1352"/>
        <w:gridCol w:w="295"/>
      </w:tblGrid>
      <w:tr>
        <w:trPr/>
        <w:tc>
          <w:tcPr>
            <w:tcW w:w="2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Products and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Products and Services</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significant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Gain on sales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significant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segment items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8"/>
        <w:gridCol w:w="146"/>
        <w:gridCol w:w="275"/>
        <w:gridCol w:w="529"/>
        <w:gridCol w:w="146"/>
        <w:gridCol w:w="146"/>
        <w:gridCol w:w="280"/>
        <w:gridCol w:w="495"/>
        <w:gridCol w:w="166"/>
        <w:gridCol w:w="146"/>
        <w:gridCol w:w="256"/>
        <w:gridCol w:w="572"/>
        <w:gridCol w:w="166"/>
        <w:gridCol w:w="146"/>
        <w:gridCol w:w="196"/>
        <w:gridCol w:w="376"/>
        <w:gridCol w:w="166"/>
        <w:gridCol w:w="146"/>
        <w:gridCol w:w="275"/>
        <w:gridCol w:w="529"/>
        <w:gridCol w:w="166"/>
        <w:gridCol w:w="146"/>
        <w:gridCol w:w="280"/>
        <w:gridCol w:w="495"/>
        <w:gridCol w:w="146"/>
        <w:gridCol w:w="146"/>
        <w:gridCol w:w="298"/>
        <w:gridCol w:w="530"/>
        <w:gridCol w:w="166"/>
        <w:gridCol w:w="146"/>
        <w:gridCol w:w="196"/>
        <w:gridCol w:w="376"/>
        <w:gridCol w:w="419"/>
      </w:tblGrid>
      <w:tr>
        <w:trPr/>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2"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Products and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Elims. and corporate costs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Products and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Elims. and corporate costs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and other unallocated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financial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income (loss) in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52"/>
        <w:gridCol w:w="146"/>
        <w:gridCol w:w="324"/>
        <w:gridCol w:w="848"/>
        <w:gridCol w:w="166"/>
        <w:gridCol w:w="146"/>
        <w:gridCol w:w="490"/>
        <w:gridCol w:w="1277"/>
        <w:gridCol w:w="166"/>
        <w:gridCol w:w="146"/>
        <w:gridCol w:w="324"/>
        <w:gridCol w:w="848"/>
        <w:gridCol w:w="166"/>
        <w:gridCol w:w="146"/>
        <w:gridCol w:w="490"/>
        <w:gridCol w:w="1277"/>
        <w:gridCol w:w="293"/>
      </w:tblGrid>
      <w:tr>
        <w:trPr/>
        <w:tc>
          <w:tcPr>
            <w:tcW w:w="2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Products and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Products and Services</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significant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Goodwill and long-lived asset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Gain on sales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significant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segment items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0"/>
        <w:gridCol w:w="146"/>
        <w:gridCol w:w="213"/>
        <w:gridCol w:w="556"/>
        <w:gridCol w:w="146"/>
        <w:gridCol w:w="146"/>
        <w:gridCol w:w="208"/>
        <w:gridCol w:w="544"/>
        <w:gridCol w:w="166"/>
        <w:gridCol w:w="146"/>
        <w:gridCol w:w="208"/>
        <w:gridCol w:w="544"/>
        <w:gridCol w:w="166"/>
        <w:gridCol w:w="146"/>
        <w:gridCol w:w="196"/>
        <w:gridCol w:w="601"/>
        <w:gridCol w:w="166"/>
        <w:gridCol w:w="146"/>
        <w:gridCol w:w="213"/>
        <w:gridCol w:w="556"/>
        <w:gridCol w:w="146"/>
        <w:gridCol w:w="146"/>
        <w:gridCol w:w="208"/>
        <w:gridCol w:w="544"/>
        <w:gridCol w:w="166"/>
        <w:gridCol w:w="146"/>
        <w:gridCol w:w="208"/>
        <w:gridCol w:w="544"/>
        <w:gridCol w:w="166"/>
        <w:gridCol w:w="146"/>
        <w:gridCol w:w="196"/>
        <w:gridCol w:w="601"/>
        <w:gridCol w:w="415"/>
      </w:tblGrid>
      <w:tr>
        <w:trPr/>
        <w:tc>
          <w:tcPr>
            <w:tcW w:w="1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Products and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Elims. and corporate costs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 Products and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Elims. and corporate costs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and other unallocated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financial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income (loss) in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 in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11,363</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items represent amounts necessary to reconcile segment revenue less significant expenses categories to segment operating profit and include items such as restructuring charges, other non-recurring items, and amounts not regularly reviewed by the CODM.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from one segment to another generally are priced at estimated equivalent commercial selling prices; however, segments originating an external sale are credited with the full profit to the Company. Eliminations and corporate costs include intercompany transactions conducted between the two reporting segments and with Corporate that are eliminated in consolidation, as well as corporate costs not allocated to the segments. Intercompany transactions within each reporting segment are eliminated within each reporting segment. Also included in the eliminations and corporate costs column are capital expenditures and total assets related to corporate. Corporate assets consist primarily of cash, fixed assets, and right-of-use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certain corporate expenses not allocated to the segments, restructuring related to centrally managed initiatives and other non-recurring items.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 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disaggregate our revenue by destinations and revenue streams, as we believe it best depicts how the nature, amount, timing and uncertainty of our revenue and cash flows are affected by economic factors (in millions).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the table below, North America includes only the U.S. and Canada:</w:t>
      </w:r>
    </w:p>
    <w:tbl>
      <w:tblPr>
        <w:tblW w:w="10205" w:type="dxa"/>
        <w:jc w:val="left"/>
        <w:tblInd w:w="0" w:type="dxa"/>
        <w:tblLayout w:type="fixed"/>
        <w:tblCellMar>
          <w:top w:w="28" w:type="dxa"/>
          <w:left w:w="28" w:type="dxa"/>
          <w:bottom w:w="28" w:type="dxa"/>
          <w:right w:w="28" w:type="dxa"/>
        </w:tblCellMar>
      </w:tblPr>
      <w:tblGrid>
        <w:gridCol w:w="1475"/>
        <w:gridCol w:w="146"/>
        <w:gridCol w:w="208"/>
        <w:gridCol w:w="543"/>
        <w:gridCol w:w="146"/>
        <w:gridCol w:w="146"/>
        <w:gridCol w:w="274"/>
        <w:gridCol w:w="526"/>
        <w:gridCol w:w="146"/>
        <w:gridCol w:w="146"/>
        <w:gridCol w:w="320"/>
        <w:gridCol w:w="566"/>
        <w:gridCol w:w="166"/>
        <w:gridCol w:w="146"/>
        <w:gridCol w:w="196"/>
        <w:gridCol w:w="511"/>
        <w:gridCol w:w="146"/>
        <w:gridCol w:w="146"/>
        <w:gridCol w:w="208"/>
        <w:gridCol w:w="543"/>
        <w:gridCol w:w="146"/>
        <w:gridCol w:w="146"/>
        <w:gridCol w:w="227"/>
        <w:gridCol w:w="592"/>
        <w:gridCol w:w="146"/>
        <w:gridCol w:w="146"/>
        <w:gridCol w:w="320"/>
        <w:gridCol w:w="566"/>
        <w:gridCol w:w="166"/>
        <w:gridCol w:w="146"/>
        <w:gridCol w:w="196"/>
        <w:gridCol w:w="511"/>
        <w:gridCol w:w="193"/>
      </w:tblGrid>
      <w:tr>
        <w:trPr/>
        <w:tc>
          <w:tcPr>
            <w:tcW w:w="1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1"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and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and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Offshore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1621"/>
        <w:gridCol w:w="146"/>
        <w:gridCol w:w="208"/>
        <w:gridCol w:w="543"/>
        <w:gridCol w:w="146"/>
        <w:gridCol w:w="146"/>
        <w:gridCol w:w="237"/>
        <w:gridCol w:w="618"/>
        <w:gridCol w:w="146"/>
        <w:gridCol w:w="146"/>
        <w:gridCol w:w="196"/>
        <w:gridCol w:w="346"/>
        <w:gridCol w:w="166"/>
        <w:gridCol w:w="146"/>
        <w:gridCol w:w="196"/>
        <w:gridCol w:w="511"/>
        <w:gridCol w:w="146"/>
        <w:gridCol w:w="146"/>
        <w:gridCol w:w="208"/>
        <w:gridCol w:w="543"/>
        <w:gridCol w:w="146"/>
        <w:gridCol w:w="146"/>
        <w:gridCol w:w="237"/>
        <w:gridCol w:w="618"/>
        <w:gridCol w:w="146"/>
        <w:gridCol w:w="146"/>
        <w:gridCol w:w="196"/>
        <w:gridCol w:w="346"/>
        <w:gridCol w:w="166"/>
        <w:gridCol w:w="146"/>
        <w:gridCol w:w="196"/>
        <w:gridCol w:w="511"/>
        <w:gridCol w:w="19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and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Elims.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and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Elims.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Offshore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In the table below, the revenue streams of Energy Equipment are categorized as long-lived capital equipment sales and aftermarket sales and services. The revenue streams of the Energy Products and Services segment are categorized as services and rentals, sales of shorter-lived capital equipment, and sales of consumable products. </w:t>
      </w:r>
    </w:p>
    <w:tbl>
      <w:tblPr>
        <w:tblW w:w="5380" w:type="dxa"/>
        <w:jc w:val="left"/>
        <w:tblInd w:w="0" w:type="dxa"/>
        <w:tblLayout w:type="fixed"/>
        <w:tblCellMar>
          <w:top w:w="28" w:type="dxa"/>
          <w:left w:w="28" w:type="dxa"/>
          <w:bottom w:w="28" w:type="dxa"/>
          <w:right w:w="28" w:type="dxa"/>
        </w:tblCellMar>
      </w:tblPr>
      <w:tblGrid>
        <w:gridCol w:w="2581"/>
        <w:gridCol w:w="146"/>
        <w:gridCol w:w="254"/>
        <w:gridCol w:w="689"/>
        <w:gridCol w:w="200"/>
        <w:gridCol w:w="176"/>
        <w:gridCol w:w="254"/>
        <w:gridCol w:w="689"/>
        <w:gridCol w:w="3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Aftermarket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&amp; rental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consolidated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186" w:type="dxa"/>
        <w:jc w:val="left"/>
        <w:tblInd w:w="0" w:type="dxa"/>
        <w:tblLayout w:type="fixed"/>
        <w:tblCellMar>
          <w:top w:w="28" w:type="dxa"/>
          <w:left w:w="28" w:type="dxa"/>
          <w:bottom w:w="28" w:type="dxa"/>
          <w:right w:w="28" w:type="dxa"/>
        </w:tblCellMar>
      </w:tblPr>
      <w:tblGrid>
        <w:gridCol w:w="2581"/>
        <w:gridCol w:w="146"/>
        <w:gridCol w:w="232"/>
        <w:gridCol w:w="630"/>
        <w:gridCol w:w="183"/>
        <w:gridCol w:w="161"/>
        <w:gridCol w:w="232"/>
        <w:gridCol w:w="630"/>
        <w:gridCol w:w="3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Aftermarket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&amp; rental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consolidated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revenue recognized from performance obligations satisfied in previous periods was not material for the six months ended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Remaining performance obligations represent the transaction price of firm orders for all revenue streams for which work has not been performed on contracts with original expected duration of one year or more. We do not disclose the remaining performance obligations of royalty contracts, service contracts for which there is a right to invoice, and short-term contracts that are expected to have a duration of one year or less. As of June 30, 2026, the aggregate amount of the transaction price allocated to remaining performance obligations was $4,443 million. Although numerous factors can affect timing of revenue recognized on performance obligations, such as customer change orders, supplier accelerations or delays, and the current uncertainty and conflict in the Middle East, the Company expects to recognize approximately $1,071 million in revenue for the remaining performance obligations in the remainder of 2026, $1,588 million in 2027, $586 million in 2028, and $1,198 million thereafter.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Contract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assets include unbilled amounts when revenue recognized exceeds the amount billed to the customer under contracts where revenue is recognized over-time. There were no impairment losses recorded on contract assets for the three and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liabilities consist of advance payments, billings in excess of revenue recognized and deferred revenue.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changes in the carrying amount of contract assets and contract liabilities are as follows (in millions):</w:t>
      </w:r>
    </w:p>
    <w:tbl>
      <w:tblPr>
        <w:tblW w:w="6878" w:type="dxa"/>
        <w:jc w:val="left"/>
        <w:tblInd w:w="0" w:type="dxa"/>
        <w:tblLayout w:type="fixed"/>
        <w:tblCellMar>
          <w:top w:w="28" w:type="dxa"/>
          <w:left w:w="28" w:type="dxa"/>
          <w:bottom w:w="28" w:type="dxa"/>
          <w:right w:w="28" w:type="dxa"/>
        </w:tblCellMar>
      </w:tblPr>
      <w:tblGrid>
        <w:gridCol w:w="3816"/>
        <w:gridCol w:w="346"/>
        <w:gridCol w:w="211"/>
        <w:gridCol w:w="571"/>
        <w:gridCol w:w="366"/>
        <w:gridCol w:w="346"/>
        <w:gridCol w:w="247"/>
        <w:gridCol w:w="564"/>
        <w:gridCol w:w="411"/>
      </w:tblGrid>
      <w:tr>
        <w:trPr/>
        <w:tc>
          <w:tcPr>
            <w:tcW w:w="38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w:t>
              <w:br/>
              <w:t>Assets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w:t>
              <w:br/>
              <w:t>Liabilities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Billings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recognized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 adjustments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Allowance for Credit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estimates its allowance for credit losses using information about past events, current conditions and risk characteristics of each customer, and reasonable and supportable forecasts relevant to assessing risk associated with the collectability of receivables and contract assets. The Company’s customer base, mostly in the oil and gas industry, have generally similar collectability risk characteristics, although larger and state-owned customers may have lower risk than smaller independent customers. As of June 30, 2026, the allowance for credit losses on accounts receivable and contract assets totaled $52 million.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changes in the carrying amount of the allowance for credit losses are as follows (in millions):</w:t>
      </w:r>
    </w:p>
    <w:tbl>
      <w:tblPr>
        <w:tblW w:w="4330" w:type="dxa"/>
        <w:jc w:val="left"/>
        <w:tblInd w:w="0" w:type="dxa"/>
        <w:tblLayout w:type="fixed"/>
        <w:tblCellMar>
          <w:top w:w="28" w:type="dxa"/>
          <w:left w:w="28" w:type="dxa"/>
          <w:bottom w:w="28" w:type="dxa"/>
          <w:right w:w="28" w:type="dxa"/>
        </w:tblCellMar>
      </w:tblPr>
      <w:tblGrid>
        <w:gridCol w:w="3186"/>
        <w:gridCol w:w="146"/>
        <w:gridCol w:w="211"/>
        <w:gridCol w:w="376"/>
        <w:gridCol w:w="411"/>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Recoveries collected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 for long-term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leases certain facilities and equipment to support its operations around the world. These leases generally require the Company to pay maintenance, insurance, taxes and other operating costs in addition to rent. Renewal options are common in longer term leases; however, it is rare that the Company intends to exercise a lease option at inception due to the cyclical nature of the Company’s business. Residual value guarantees are not typically part of the Company’s leases. Occasionally, the Company sub-leases excess facility space, generally at terms similar to the source lease. The Company reviews new agreements to determine if they include a lease and, when they do, uses its incremental borrowing rate to determine the present value of the future lease payments as most do not include implicit interest rates.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Components of leases are as follows (in millions):</w:t>
      </w:r>
    </w:p>
    <w:tbl>
      <w:tblPr>
        <w:tblW w:w="6820" w:type="dxa"/>
        <w:jc w:val="left"/>
        <w:tblInd w:w="0" w:type="dxa"/>
        <w:tblLayout w:type="fixed"/>
        <w:tblCellMar>
          <w:top w:w="28" w:type="dxa"/>
          <w:left w:w="28" w:type="dxa"/>
          <w:bottom w:w="28" w:type="dxa"/>
          <w:right w:w="28" w:type="dxa"/>
        </w:tblCellMar>
      </w:tblPr>
      <w:tblGrid>
        <w:gridCol w:w="3166"/>
        <w:gridCol w:w="146"/>
        <w:gridCol w:w="375"/>
        <w:gridCol w:w="750"/>
        <w:gridCol w:w="146"/>
        <w:gridCol w:w="146"/>
        <w:gridCol w:w="499"/>
        <w:gridCol w:w="1001"/>
        <w:gridCol w:w="5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 Debt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Debt consists of (in millions):</w:t>
      </w:r>
    </w:p>
    <w:tbl>
      <w:tblPr>
        <w:tblW w:w="10205" w:type="dxa"/>
        <w:jc w:val="left"/>
        <w:tblInd w:w="0" w:type="dxa"/>
        <w:tblLayout w:type="fixed"/>
        <w:tblCellMar>
          <w:top w:w="28" w:type="dxa"/>
          <w:left w:w="28" w:type="dxa"/>
          <w:bottom w:w="28" w:type="dxa"/>
          <w:right w:w="28" w:type="dxa"/>
        </w:tblCellMar>
      </w:tblPr>
      <w:tblGrid>
        <w:gridCol w:w="6975"/>
        <w:gridCol w:w="146"/>
        <w:gridCol w:w="282"/>
        <w:gridCol w:w="766"/>
        <w:gridCol w:w="146"/>
        <w:gridCol w:w="146"/>
        <w:gridCol w:w="363"/>
        <w:gridCol w:w="988"/>
        <w:gridCol w:w="393"/>
      </w:tblGrid>
      <w:tr>
        <w:trPr/>
        <w:tc>
          <w:tcPr>
            <w:tcW w:w="6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 billion in Senior Notes, interest at 3.95% payable semiannually, principal due on December 1, 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$0.5 billion in Senior Notes, interest at 3.60% payable semiannually, principal due on December 1,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 revolving credit facility with a borrowing capacity of $1.5 billion through September 12, 2030. The Company has the right to increase the aggregate commitments under this agreement to an aggregate amount of up to $2.5 billion upon the consent of only those lenders holding any such increase. Interest under the multicurrency facility is based upon Secured Overnight Financing Rate (SOFR), Euro Interbank Offered Rate (EURIBOR), Sterling Overnight Index Average (SONIA), Canadian Overnight Repo Rate Average (CORRA), or Norwegian Interbank Offered Rate (NIBOR), plus 1.25% subject to a ratings-based grid or the U.S. prime rate. The credit facility contains a financial covenant establishing a maximum debt-to-capitalization ratio of 60%. As of June 30, 2026, the Company was in compliance with a debt-to-capitalization ratio of 23.9% and had no outstanding borrowings or letters of credit issued under the facility, resulting in $1.5 billion of available funds.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consolidated joint venture of the Company borrowed $120 million against a $150 million bank line of credit, payable by June 2032, for the construction of a facility in Saudi Arabia. Interest under the bank line of credit is based upon SOFR plus 1.40%. The bank line of credit contains a financial covenant regarding maximum debt-to-equity ratio of 75%. As of June 30, 2026, the joint venture was in compliance and will not have future borrowings on the line of credit. As of June 30, 2026, the Company had $78 million in borrowings related to this line of credit. The carrying value of debt under the Company’s consolidated joint venture approximates fair value because the interest rates are variable and reflective of current market rates. The Company has $12 million in payments related to this line of credit due in the next twelve months. The Company can repay the entire outstanding facility balance without penalty at its sole discretion.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debt at June 30, 2026 included $38 million of amounts owed to current minority interest partners of NOV consolidated joint ventures, of which $2 million is due in the next twelve months.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$909 million of outstanding letters of credit at June 30, 2026, primarily in the United States and Norway, that are under various bilateral letter of credit facilities. Letters of credit are issued as bid bonds, advanced payment bonds and performance bonds.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and December 31, 2025, the fair value of the Company’s unsecured Senior Notes approximated $1,345 million and $1,353 million, respectively. The fair value of the Company’s debt is estimated using Level 2 inputs in the GAAP fair value hierarchy and is based on quoted prices for those of similar instruments. At June 30, 2026 and December 31, 2025, the carrying value of the Company’s unsecured Senior Notes approximated $1,589 million at both reporting dates.</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 tax rate for the three and six months ended June 30, 2026 was 26.1% and 29.2%, respectively, compared to 0.9% and 20.3% for the same period in 2025. The U.S. statutory tax rate was 21% for all periods. The effective tax rate for the three months ended June 30, 2026 was negatively impacted by a mix of earnings in higher tax rate jurisdictions, partially offset by the release of previously recorded reserves for unrecognized tax benefits and adjustments to prior year taxes. The effective tax rate for the six months ended June 30, 2026 was negatively impacted by a mix of earnings in higher tax rate jurisdictions and a shortfall related to previously recognized stock compensation deductibility, partially offset by the release of previously recorded reserves for unrecognized tax benefits and adjustments to prior year taxes. The effective tax rate for the six months ended June 30, 2025 was positively impacted by the release of previously recorded reserves for unrecognized tax benefits of $58 million, partially offset by an increase to reserves for unrecognized tax benefits of $23 million, unfavorable adjustments related to the carrying value of deferred tax assets of $14 million, changes in certain foreign currency exchange rates of $4 million, and a mix of earnings in higher tax rate jurisdictions.</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stock-based compensation plan, known as the NOV Inc. Long-Term Incentive Plan (the “NOV Plan”), was approved by shareholders on May 11, 2018 and amended and restated on May 24, 2022 and May 20, 2025. The NOV Plan provides for the granting of stock options, restricted stock, restricted stock units, performance awards, phantom shares, stock appreciation rights, stock payments and substitute awards. The number of shares authorized under the NOV Plan is 70.9 million. At June 30, 2026, approximately 13.7 million shares remained available for future grants under the NOV Plan. The Company also has outstanding awards under its former stock-based compensation plan known as the National Oilwell Varco, Inc. Long-Term Incentive Plan (the “Former Plan”); however, the Company is no longer granting new awards under the Former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20, 2026, under the NOV Plan, the Company granted 75,656 restricted stock units (“RSUs”) with a fair value of $21.15 per share. The awards were granted to non-employee members of the board of directors and vest on the first anniversary of the grant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expense for all stock-based compensation arrangements was $15 million and $41 million for the three and six months ended June 30, 2026, respectively, and $17 million and $33 million for the three and six months ended June 30,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total income tax expense (benefit) recognized in the Consolidated Statements of Income for stock-based compensation arrangements was $(2) million for each of the three and six months ended June 30, 2026, respectively, and $(3) million and $6 million for the three and six months ended 2025, respectively.</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 Derivative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uses forward currency contracts to manage the foreign currency exchange rate risk on forecasted revenues and expenses denominated in currencies other than the functional currency of the operating unit (cash flow hedge). The Company also executes forward currency contracts to manage the foreign currency exchange rate risk on recognized nonfunctional currency monetary accounts (non-designated hedge).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these derivative financial instruments are determined using Level 2 inputs (inputs other than quoted prices in active markets for identical assets and liabilities that are observable either directly or indirectly for substantially the full term of the asset or liability) in the fair value hierarchy as the fair value is based on publicly available foreign exchange and interest rates at each financial reporting date.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Forward currency contracts consist of (in millions):</w:t>
      </w:r>
    </w:p>
    <w:tbl>
      <w:tblPr>
        <w:tblW w:w="5602" w:type="dxa"/>
        <w:jc w:val="left"/>
        <w:tblInd w:w="0" w:type="dxa"/>
        <w:tblLayout w:type="fixed"/>
        <w:tblCellMar>
          <w:top w:w="28" w:type="dxa"/>
          <w:left w:w="28" w:type="dxa"/>
          <w:bottom w:w="28" w:type="dxa"/>
          <w:right w:w="28" w:type="dxa"/>
        </w:tblCellMar>
      </w:tblPr>
      <w:tblGrid>
        <w:gridCol w:w="1936"/>
        <w:gridCol w:w="146"/>
        <w:gridCol w:w="556"/>
        <w:gridCol w:w="146"/>
        <w:gridCol w:w="1126"/>
        <w:gridCol w:w="146"/>
        <w:gridCol w:w="154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 Denomination</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Korean Won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49,790</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Norwegian Krone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Dollar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Japanese Yen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JPY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 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Pound Sterling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bl>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Cash Flow Hedging Strategy</w:t>
      </w:r>
    </w:p>
    <w:p>
      <w:pPr>
        <w:pStyle w:val="TextBody"/>
        <w:bidi w:val="0"/>
        <w:jc w:val="both"/>
        <w:rPr>
          <w:rFonts w:ascii="Times New Roman" w:hAnsi="Times New Roman"/>
          <w:color w:val="000000"/>
          <w:sz w:val="20"/>
        </w:rPr>
      </w:pPr>
      <w:r>
        <w:rPr>
          <w:rFonts w:ascii="Times New Roman" w:hAnsi="Times New Roman"/>
          <w:color w:val="000000"/>
          <w:sz w:val="20"/>
        </w:rPr>
        <w:t>To protect against the volatility of forecasted foreign currency cash flows resulting from forecasted revenues and expenses, the Company maintains a cash flow hedging program. For derivative instruments that are designated and qualify as a cash flow hedge, the gain or loss on the derivative instrument is recorded in accumulated other comprehensive loss and reclassified into earnings in the same line item associated with the forecasted transaction and in the same period or periods during which the hedged transaction affects earnings (e.g., in “revenues” when the hedged transactions are cash flows associated with forecasted revenues). The Company includes time value in hedge relationships.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expects accumulated other comprehensive loss of $2 million will be reclassified into earnings within the next twelve months.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Non-designated Hedging Strategy</w:t>
      </w:r>
    </w:p>
    <w:p>
      <w:pPr>
        <w:pStyle w:val="TextBody"/>
        <w:bidi w:val="0"/>
        <w:jc w:val="both"/>
        <w:rPr>
          <w:rFonts w:ascii="Times New Roman" w:hAnsi="Times New Roman"/>
          <w:color w:val="000000"/>
          <w:sz w:val="20"/>
        </w:rPr>
      </w:pPr>
      <w:r>
        <w:rPr>
          <w:rFonts w:ascii="Times New Roman" w:hAnsi="Times New Roman"/>
          <w:color w:val="000000"/>
          <w:sz w:val="20"/>
        </w:rPr>
        <w:t>The Company enters into forward exchange contracts to hedge certain nonfunctional currency monetary accounts. The gain or loss on the derivative instrument is recognized in earnings in “other expense, net”, together with the changes in the hedged nonfunctional monetary accounts.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of gain (loss) recognized in “other expense, net” was $(1) million for both the three and six months ended June 30, 2026, compared to $13 million and $16 million for the three and six months ended June 30, 2025, respectively.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has the following fair values of its derivative instruments and their balance sheet classifications (in millions):</w:t>
      </w:r>
    </w:p>
    <w:tbl>
      <w:tblPr>
        <w:tblW w:w="10205" w:type="dxa"/>
        <w:jc w:val="left"/>
        <w:tblInd w:w="0" w:type="dxa"/>
        <w:tblLayout w:type="fixed"/>
        <w:tblCellMar>
          <w:top w:w="28" w:type="dxa"/>
          <w:left w:w="28" w:type="dxa"/>
          <w:bottom w:w="28" w:type="dxa"/>
          <w:right w:w="28" w:type="dxa"/>
        </w:tblCellMar>
      </w:tblPr>
      <w:tblGrid>
        <w:gridCol w:w="2056"/>
        <w:gridCol w:w="146"/>
        <w:gridCol w:w="1755"/>
        <w:gridCol w:w="146"/>
        <w:gridCol w:w="243"/>
        <w:gridCol w:w="399"/>
        <w:gridCol w:w="146"/>
        <w:gridCol w:w="146"/>
        <w:gridCol w:w="365"/>
        <w:gridCol w:w="602"/>
        <w:gridCol w:w="146"/>
        <w:gridCol w:w="146"/>
        <w:gridCol w:w="1265"/>
        <w:gridCol w:w="146"/>
        <w:gridCol w:w="243"/>
        <w:gridCol w:w="399"/>
        <w:gridCol w:w="146"/>
        <w:gridCol w:w="146"/>
        <w:gridCol w:w="365"/>
        <w:gridCol w:w="602"/>
        <w:gridCol w:w="597"/>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 Derivatives</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7"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Designated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not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Non-designated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 Net Income Attributable to Company Per Share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sets forth the computation of weighted average basic and diluted shares outstanding (in millions, except per share data):</w:t>
      </w:r>
    </w:p>
    <w:tbl>
      <w:tblPr>
        <w:tblW w:w="10205" w:type="dxa"/>
        <w:jc w:val="left"/>
        <w:tblInd w:w="0" w:type="dxa"/>
        <w:tblLayout w:type="fixed"/>
        <w:tblCellMar>
          <w:top w:w="28" w:type="dxa"/>
          <w:left w:w="28" w:type="dxa"/>
          <w:bottom w:w="28" w:type="dxa"/>
          <w:right w:w="28" w:type="dxa"/>
        </w:tblCellMar>
      </w:tblPr>
      <w:tblGrid>
        <w:gridCol w:w="4765"/>
        <w:gridCol w:w="254"/>
        <w:gridCol w:w="562"/>
        <w:gridCol w:w="175"/>
        <w:gridCol w:w="175"/>
        <w:gridCol w:w="254"/>
        <w:gridCol w:w="688"/>
        <w:gridCol w:w="446"/>
        <w:gridCol w:w="446"/>
        <w:gridCol w:w="249"/>
        <w:gridCol w:w="550"/>
        <w:gridCol w:w="172"/>
        <w:gridCol w:w="172"/>
        <w:gridCol w:w="249"/>
        <w:gridCol w:w="550"/>
        <w:gridCol w:w="498"/>
      </w:tblGrid>
      <w:tr>
        <w:trPr/>
        <w:tc>
          <w:tcPr>
            <w:tcW w:w="47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attributable to Company</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Basic—weighted average common shares outstanding</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Dilutive effect of employee stock options and other unvested stock awards</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Diluted—weighted average common shares outstanding</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6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Company per share:</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per share</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0.285</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with unvested participating securities are required to utilize a two-class method for the computation of net income attributable to Company per share. The two-class method requires a portion of net income attributable to Company to be allocated to participating securities, which are unvested awards of share-based payments with non-forfeitable rights to receive dividends or dividend equivalents if declared. Net income attributable to the Company allocated to these participating securities was immaterial for each of the three and six months ended June 30,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stock options and restricted shares outstanding that were anti-dilutive totaling 6 million and 7 million shares for the three and six months ended June 30, 2026, compared to 19 million and 16 million shares for the three and six months ended June 30, 2025.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 Cash 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dividends were $64 million and $97 million for the three and six months ended June 30, 2026, compared to $107 million and $135 million for the three and six months ended June 30, 2025. The declaration and payment of future dividends is at the discretion of the Company’s Board of Directors and will be dependent upon the Company’s results of operations, financial condition, capital requirements and other factors deemed relevant by the Company’s Board of Directors.</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14. Share Repurchase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25, 2024, the Company established a share repurchase program for up to $1 billion of the currently outstanding shares of the Company’s common stock over a period of 36 months. Under the share repurchase program, the Company may repurchase shares from time to time through open market purchases, in privately negotiated transactions or by other means, including through the use of trading plans intended to qualify under Rule 10b5-1 under the Securities Exchange Act of 1934 (the “Exchange Act”), as amended, in accordance with applicable securities laws and other restrictions, including Rule 10b-18. The timing and total amount of any stock repurchases will depend upon business, economic and market conditions, corporate and regulatory requirements, prevailing stock prices and other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intends to fund the repurchases using its available U.S. cash balances, which may involve the repatriation of foreign earnings not indefinitely reinvested. However, depending on U.S. cash balances, the Company may choose to borrow against its revolving credit facility or issue new debt to finance the repurchases. As shares are repurchased, they are constructively retired and returned to an unissued state. During the three and six months ended June 30, 2026, the Company repurchased approximately 3.2 million shares of common stock under the program for an aggregate amount of $63 million and 6.7 million shares of common stock under the program for an aggregate amount of $130 million, respectively. During the three and six months ended June 30, 2025, the Company repurchased approximately 5.5 million shares of common stock under the program for an aggregate amount of $69 million, and 10.9 million shares of common stock under the program for an aggregate amount of $150 million, respectively.</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is involved in various claims, regulatory agency audits, investigations and legal actions involving a variety of matters. As of June 30, 2026, in the ordinary course of business, the Company recorded reserves in an amount believed to be sufficient, given the estimated range of potential outcomes, for contingent liabilities believed to be probable. These estimated liabilities are based on the Company’s assessment of the nature of these matters, their progress toward resolution, the advice of legal counsel and outside experts as well as management’s experience. The litigation process and the outcome of regulatory oversight is inherently uncertain, and our best judgment concerning the probable outcome of litigation or regulatory enforcement matters may prove to be incorrect. No assurance can be given as to the outcome of these matters. The total potential loss on these matters cannot be determined; however, in our opinion, any ultimate liability, to the extent not otherwise provided for, should not materially affect our financial position, cash flows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in global trade policy, including tariffs, geopolitical tensions, sanctions, and regulatory changes, have impacted and may continue to influence our operations. In February 2026, the U.S. Supreme Court determined that certain tariffs were unlawful, effectively nullifying the legal basis for some incremental tariffs implemented since February 2025 and sending related cases back to the Court of International Trade. In response, the U.S. administration introduced new tariffs under different authorities, increasing uncertainty around the scope, duration, and potential changes to current and future tariffs, as well as the risk of retaliatory measures. We have submitted Consolidated Administration and Processing of Entries (“CAPE”) Declarations for International Emergency Economic Powers Act (“IEEPA”) duty refunds and are closely monitoring developments to better understand the government’s next steps. For the three months ended June 30, 2026, we have recorded a benefit of approximately $40 million, within “Cost of revenue” in the Consolidated Statements of Income to reflect any benefit from such refunds, of which we have received $17 million through June 30, 2026. The remaining outstanding balance is reported within “Receivables, net” in the Consolidated Balance Sheets.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Company is currently pursuing litigation against several companies involving royalties due under licenses for technology related to drill bits. This technology resulted in a portfolio of patents related to leaching technology, a revolutionary technology owned by the Company that improves the performance of drill bits and other products utilizing certain synthetic diamond parts. The Company previously sued several drill bit manufacturers for patent infringement and those lawsuits were resolved by a series of licensing agreements with various drill bit manufacturers (the “License Agreements”). To settle and end litigation or to avoid litigation, the licensees were provided access to the portfolio of leaching patents owned by the Company in exchange for a royalty payment, as defined in each License Agreement. The companies agreed to pay the royalties for the right to use the portfolio of patents, whether they used some, all or none of the specific patented claims in any particular patent. The license agreements provide that they terminate on the date of the last to expire of the patents in the licensed portfolio. Having obtained the benefit of these licenses for more than a decade, all of the drill bit manufacturer licensees unilaterally stopped making royalty payments even though all of the patents in the portfolio have not expired. These companies have asserted, among other reasons, that they are entitled to stop making these payments because they claim to not manufacture products covered by the unexpired patents. Some of these companies stopped making payments upon expiration of what are allegedly the patents in the portfolio that they elected to use. Others paid for some period of time after that date but have since stopped making payments. The Company has sued asserting that failure to pay the royalties is a breach of the License Agreements. The Company is in litigation with most of the licensees seeking a judicial determination that it is entitled to be paid royalties pursuant to the terms of the License Agreements. The licensees have responded with a number of alleged defenses and requests for declaratory judgment all focused on avoiding the payments called for under the License Agreements. The parties’ legal filings to date can be found in the following cases: Grant Prideco, Inc., et al. v. Schlumberger Technology Corp., et al., No. 4:23-cv-00730; Halliburton Energy Services, Inc. v. Grant Prideco, Inc., et al., No. 4:23-cv-01789; and Grant Prideco, Inc., et al. v. Baker Hughes Oilfield Operations Inc., et al., No. 4:25-cv-03459, all in the United States District Court for the Southern District of Texas. We have also subsequently initiated litigation against Taurex Drill Bits. The legal filings to date for that proceeding can be found in the case Grant Prideco, Inc., et al. v. Taurex Drill Bits, L.L.C., No. 25-BC11B-0065, in the Eleventh Business Court Division for Harris County, Texas. On September 29, 2025, and October 7, 2025, in the lawsuits against Halliburton, Ulterra and Varel, the district court issued rulings, the effect of which is that NOV cannot collect royalties under the License Agreements after the date each licensee stopped making royalty payments. NOV believes the court’s ruling is incorrect and is appealing the court’s decision, which can be found in the case: Halliburton Energy Services, Inc. v. Grant Prideco, Inc. et al., Nos. 26-1256, 26-1266, In the United States Court of Appeals for the Federal Circuit. The Company continues to strongly believe that the royalties for which it has sued are due and owing pursuant to the terms of the License Agreements. Of course, there is inherent risk with the related litigation and the Company makes no assurances as to the outcome of such litigation. As of June 30, 2026, royalty receivables of $140 million, net of related reserves of $78 million and the remaining timing related discount of $40 million, are included in “Other assets” on the Consolidated Balance Sheets. While we continue to believe it is probable the Company will collect all or substantially all of the consideration to which it is entitled pursuant to the terms of the licensing agreements, the Company will also continue to evaluate the collectability of the receivables in accordance with the allowance for credit losses policy described in Note 6.</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Introduction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NOV is a leading independent equipment and technology provider to the global energy industry. NOV and its predecessor companies have spent over 160 years helping transform oil and gas development and improving its cost-effectiveness, efficiency, safety, and environmental impact.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NOV’s extensive proprietary technology portfolio supports the industry’s drilling, completion, and production needs. With unmatched cross-segment capabilities, scope, and scale, NOV continues to develop and introduce technologies that further enhance the economics and efficiencies of energy production, with a focus on digital, automation, and robotics solutions.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Lower-cost, reliable sources of energy significantly contribute to raising the global standard of living by powering economic development, enabling better infrastructure and facilitating the production of goods and services that improve quality of life. Over the past few decades, the Company has pioneered and refined key technologies to improve the economic viability of frontier resources, including unconventional and deepwater oil and gas. More recently, by applying its deep expertise and technology, NOV has developed solutions to improve the economics of alternative energy 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NOV serves major-diversified, national, and independent service companies, contractors, and energy producers in 57 countries. NOV operates under two segments, Energy Equipment and Energy Products and Services.</w:t>
      </w:r>
    </w:p>
    <w:p>
      <w:pPr>
        <w:pStyle w:val="TextBody"/>
        <w:bidi w:val="0"/>
        <w:jc w:val="both"/>
        <w:rPr>
          <w:rFonts w:ascii="Times New Roman" w:hAnsi="Times New Roman"/>
          <w:color w:val="000000"/>
          <w:sz w:val="20"/>
        </w:rPr>
      </w:pPr>
      <w:r>
        <w:rPr>
          <w:rFonts w:ascii="Times New Roman" w:hAnsi="Times New Roman"/>
          <w:color w:val="000000"/>
          <w:sz w:val="20"/>
        </w:rPr>
        <w:t>Results of operations are presented in accordance with GAAP. Certain reclassifications have been made to prior period financial information in order to conform with current period presentation. The Company discloses Adjusted operating profit (defined as operating profit excluding gains and losses on sales of fixed assets, and, when applicable, pre-tax Other Items (as defined below under “Executive Summary”)) and Adjusted EBITDA (defined as operating profit excluding depreciation, amortization, gains and losses on sales of fixed assets, and, when applicable, pre-tax Other Items) in its periodic earnings press releases and other public disclosures to provide investors additional information about the results of ongoing operations. See “Non-GAAP Financial Measures and Reconciliations in Results of Operations” for an explanation of our use of non-GAAP financial measures and reconciliations to their corresponding measures calculated in accordance with GAAP.</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Energy Equipment</w:t>
      </w:r>
    </w:p>
    <w:p>
      <w:pPr>
        <w:pStyle w:val="TextBody"/>
        <w:bidi w:val="0"/>
        <w:jc w:val="both"/>
        <w:rPr>
          <w:rFonts w:ascii="Times New Roman" w:hAnsi="Times New Roman"/>
          <w:color w:val="000000"/>
          <w:sz w:val="20"/>
        </w:rPr>
      </w:pPr>
      <w:r>
        <w:rPr>
          <w:rFonts w:ascii="Times New Roman" w:hAnsi="Times New Roman"/>
          <w:color w:val="000000"/>
          <w:sz w:val="20"/>
        </w:rPr>
        <w:t>The Company’s Energy Equipment segment manufactures and supports the capital equipment and integrated systems needed for oil and gas exploration and production, both onshore and offshore, as well as for other marine-based, industrial and renewable energy markets.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segment designs, manufactures, and integrates technologies for drilling and producing oil and gas wells. This includes equipment and technologies needed for drilling, including land rigs, offshore drilling equipment packages, drilling rig components, managed pressure drilling, and software control systems that mechanize and automate the drilling process and rig functionality; hydraulic fracture stimulation; well intervention, including coiled tubing units, coiled tubing, and wireline units and tools; cementing products; onshore production, including fluid and gas processing, flow control and pumping solutions; offshore production, including integrated production systems and subsea production technologies; and aftermarket support of these technologies, providing spare parts, service, and repair.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Energy Equipment primarily serves contract drillers, oilfield service companies, and oil and gas companies. Demand for the segment’s products primarily depends on capital spending plans by drilling contractors, service companies, and oil and gas companies, and secondarily on the overall level of oilfield drilling, completions, and workover activity which drives demand for equipment, spare parts, service, and repair for the segment’s large installed base of equipment.</w:t>
      </w:r>
    </w:p>
    <w:p>
      <w:pPr>
        <w:pStyle w:val="TextBody"/>
        <w:bidi w:val="0"/>
        <w:jc w:val="both"/>
        <w:rPr>
          <w:rFonts w:ascii="Times New Roman" w:hAnsi="Times New Roman"/>
          <w:color w:val="000000"/>
          <w:sz w:val="20"/>
        </w:rPr>
      </w:pPr>
      <w:r>
        <w:rPr>
          <w:rFonts w:ascii="Times New Roman" w:hAnsi="Times New Roman"/>
          <w:color w:val="000000"/>
          <w:sz w:val="20"/>
        </w:rPr>
        <w:t>The segment also serves marine and offshore markets, where it designs and builds equipment for wind turbine installation and cable lay vessels, and offers heavy lift cranes and jacking systems; industrial markets, where the segment provides pumps and mixers for a wide breadth of industrial end markets; and other renewable energy markets, where it provides solutions that support wind power development, and carbon sequestration by applying its gas processing expertise.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Energy Products and Services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Company’s Energy Products and Services segment primarily designs, manufactures, rents, and sells products and equipment used in drilling, intervention, completion, and production activities. Products include drill bits, downhole tools, premium drill pipe, drilling fluids, integral and weld-on connectors for conductor strings and surface casing, completion tools, and artificial lift systems. The segment also designs, manufactures, and delivers high-end composite pipe, tanks, and structures engineered to solve both corrosion and weight challenges in a wide variety of applications, including oil and gas, chemical, industrial, wastewater, fuel handling, marine and offshore, and rare earth mineral extraction.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product and equipment sales, the segment provides services, software, and digital solutions to improve drilling and completion operational performance. Services include tubular inspection and coating, solids control, waste management. Software and digital solutions offered include drilling and completion optimization and remote monitoring (via downhole and surface instrumentation), wired drill pipe services, software controls and applications, and data management and analytics services at the edge and in the cloud.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Energy Products and Services serves oil and gas companies, drilling contractors, oilfield service companies, oilfield equipment rental companies and developers of geothermal energy. Demand for the segment’s products and services primarily depends on the level of oilfield drilling activity by oil and gas companies, drilling contractors, and oilfield service companies. Demand for the segment’s composite solutions serving applications outside of oil and gas are driven by industrial activity, infrastructure spend, and population growth.</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both"/>
        <w:rPr>
          <w:rFonts w:ascii="Times New Roman" w:hAnsi="Times New Roman"/>
          <w:color w:val="000000"/>
          <w:sz w:val="20"/>
        </w:rPr>
      </w:pPr>
      <w:r>
        <w:rPr>
          <w:rFonts w:ascii="Times New Roman" w:hAnsi="Times New Roman"/>
          <w:color w:val="000000"/>
          <w:sz w:val="20"/>
        </w:rPr>
        <w:t>In our annual report on Form 10-K for the year ended December 31, 2025, we identified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impairment of goodwill and other indefinite-lived intangible assets, inventory reserves,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For the second quarter ended June 30, 2026, the Company generated revenues of $2.13 billion, an increase of four percent sequentially and a decrease of two percent compared to the second quarter of 2025. Net income increased $4 million, or $0.02 per diluted share, year-over-year to $112 million. Operating profit was $193 million, or 9.0 percent of sales, an increase of 35 percent versus the second quarter of 2025. Adjusted operating profit was $190 million, an increase of 15 percent versus the second quarter of 2025. Adjusted EBITDA increased $31 million year-over-year to $283 million, or 13.3 percent of sales. Second quarter 2026 Adjusted operating profit and Adjusted EBITDA include a benefit of approximately $40 million related to tariff refunds.</w:t>
      </w:r>
    </w:p>
    <w:p>
      <w:pPr>
        <w:pStyle w:val="TextBody"/>
        <w:bidi w:val="0"/>
        <w:jc w:val="both"/>
        <w:rPr>
          <w:rFonts w:ascii="Times New Roman" w:hAnsi="Times New Roman"/>
          <w:b/>
          <w:color w:val="000000"/>
          <w:sz w:val="20"/>
        </w:rPr>
      </w:pPr>
      <w:r>
        <w:rPr>
          <w:rFonts w:ascii="Times New Roman" w:hAnsi="Times New Roman"/>
          <w:b/>
          <w:color w:val="000000"/>
          <w:sz w:val="20"/>
        </w:rPr>
        <w:t>Segment Performance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Energy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Energy Equipment generated revenues of $1.22 billion in the second quarter of 2026, an increase of one percent from the second quarter of 2025. Operating profit increased $55 million from the prior year to $177 million, or 14.5 percent of sales, and included $2 million in pre-tax Other Items and a $7 million gain on sales of fixed assets. Adjusted EBITDA increased $42 million from the prior year to $200 million, or 16.4 percent of sales, and includes a benefit of approximately $14 million related to tariff refunds. Strong execution on offshore production projects nearing completion and a more favorable sales mix drove the improvement in revenue and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orders booked during the quarter totaled $474 million, an increase of $54 million when compared to the $420 million of new orders booked during the second quarter of 2025. Orders shipped from backlog were $638 million, representing a book-to-bill of 74 percent and an increase of $6 million when compared to the $632 million orders shipped and a 66 percent book-to-bill during the second quarter 2025. As of June 30, 2026, backlog for capital equipment orders for Energy Equipment totaled $4.08 billion, a decrease of $220 million from June 30,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Energy Products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Energy Products and Services generated revenues of $974 million in the second quarter of 2026, a decrease of five percent from the second quarter of 2025. Operating profit increased $2 million from the prior year to $85 million, or 8.7 percent of sales, and included $9 million in pre-tax Other Items and a $13 million gain on sales of fixed assets. Adjusted EBITDA decreased $2 million from the prior year to $144 million, or 14.8 percent of sales, and includes a benefit of approximately $26 million related to tariff refunds. Market share gains by the segment’s drill bit and artificial lift operations and continued growth in digital services were more than offset by lower capital equipment sales, despite orders booked in the first half of 2026 that are expected to support higher shipments in the second half of the year.</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Oil &amp; Gas Equipment and Services Market and Outlook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and geopolitical uncertainty remains elevated due to the conflict in the Middle East. Widespread damage to energy infrastructure and the closure of the Strait of Hormuz have materially tightened oil and gas fundamentals, causing volatility in global commodity markets and renewing focus on the need for energy security. Management believes reduced production capacity resulting from years of underinvestment in the oil and gas industry along with the growing need to diversify supply sources will spur renewed investment in upstream capacity and regional infrastructure needed to support more resilient supply. In this environment, management expects increased demand for the Company’s equipment and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NOV remains focused on the development and commercialization of innovative products and services that lower the marginal cost and environmental footprint of energy production. The Company also remains focused on improving operational efficiency, simplifying processes, and allocating capital to opportunities where it believes it has competitive advantages, technology differentiation, and the ability to generate attractive returns. Management believes this strategy will further strengthen the Company’s competitive position across market cycles and create value for shareholders.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Operating Environment Overview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results are dependent on, among other things, the level of worldwide oil and gas drilling, well remediation activity, the prices of crude oil and natural gas, capital spending by exploration and production companies and drilling contractors, worldwide oil and gas inventory levels and, to a lesser degree, the level of investment in wind and geothermal energy projects. Key industry indicators for the second quarter of 2026 and 2025, and the first quarter of 2026 include the following:</w:t>
      </w:r>
    </w:p>
    <w:tbl>
      <w:tblPr>
        <w:tblW w:w="9849" w:type="dxa"/>
        <w:jc w:val="left"/>
        <w:tblInd w:w="0" w:type="dxa"/>
        <w:tblLayout w:type="fixed"/>
        <w:tblCellMar>
          <w:top w:w="28" w:type="dxa"/>
          <w:left w:w="28" w:type="dxa"/>
          <w:bottom w:w="28" w:type="dxa"/>
          <w:right w:w="28" w:type="dxa"/>
        </w:tblCellMar>
      </w:tblPr>
      <w:tblGrid>
        <w:gridCol w:w="4111"/>
        <w:gridCol w:w="146"/>
        <w:gridCol w:w="211"/>
        <w:gridCol w:w="571"/>
        <w:gridCol w:w="146"/>
        <w:gridCol w:w="146"/>
        <w:gridCol w:w="211"/>
        <w:gridCol w:w="571"/>
        <w:gridCol w:w="146"/>
        <w:gridCol w:w="146"/>
        <w:gridCol w:w="211"/>
        <w:gridCol w:w="571"/>
        <w:gridCol w:w="146"/>
        <w:gridCol w:w="146"/>
        <w:gridCol w:w="154"/>
        <w:gridCol w:w="491"/>
        <w:gridCol w:w="331"/>
        <w:gridCol w:w="146"/>
        <w:gridCol w:w="146"/>
        <w:gridCol w:w="526"/>
        <w:gridCol w:w="57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 (decrease)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2Q26 v</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2Q26 v</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2Q26*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2Q25*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1Q26*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2Q25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1Q26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Drilling Rigs: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Texas Intermediate Crude Prices (per barrel)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Prices ($/mmbtu)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Averages for the quarters indicated. See sources below.</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details the U.S., Canadian, and international rig activity and West Texas Intermediate Crude Oil prices for the past nine quarters ended June 30, 2026, on a quarterly basis.</w:t>
      </w:r>
    </w:p>
    <w:p>
      <w:pPr>
        <w:pStyle w:val="TextBody"/>
        <w:bidi w:val="0"/>
        <w:jc w:val="center"/>
        <w:rPr/>
      </w:pPr>
      <w:r>
        <w:rPr/>
        <w:drawing>
          <wp:inline distT="0" distB="0" distL="0" distR="0">
            <wp:extent cx="7038975" cy="480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38975" cy="4800600"/>
                    </a:xfrm>
                    <a:prstGeom prst="rect">
                      <a:avLst/>
                    </a:prstGeom>
                  </pic:spPr>
                </pic:pic>
              </a:graphicData>
            </a:graphic>
          </wp:inline>
        </w:drawing>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Source: Rig count: Baker Hughes, Inc. (www.bakerhughes.com); West Texas Intermediate Crude Oil and Natural Gas Prices: US Department of Energy, Energy Information Administration (www.eia.doe.gov).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worldwide quarterly average rig count decreased 4 percent (from 1,832 to 1,760) in the second quarter of 2026 when compared to the first quarter of 2026. The average per barrel price of West Texas Intermediate Crude Oil increased 33 percent (from $71.98 per barrel to $95.75 per barrel) and natural gas prices decreased 38 percent (from $4.79 per mmbtu to $2.95 per mmbtu) in the second quarter of 2026 compared to the first quarter of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24, 2026, there were 791 rigs actively drilling in North America, comprised of U.S. and Canada, which increased 12 percent from the second quarter average of 704 rigs. The price for West Texas Intermediate Crude Oil was $89.31 per barrel at July 24, 2026, a decrease of 7 percent from the second quarter of 2026 average. The price for natural gas was $2.89 per mmbtu at July 24, 2026, a decrease of 2 percent from the second quarter of 2026 average.</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Financial results by operating segment are as follows (in millions):</w:t>
      </w:r>
    </w:p>
    <w:tbl>
      <w:tblPr>
        <w:tblW w:w="8155" w:type="dxa"/>
        <w:jc w:val="left"/>
        <w:tblInd w:w="0" w:type="dxa"/>
        <w:tblLayout w:type="fixed"/>
        <w:tblCellMar>
          <w:top w:w="28" w:type="dxa"/>
          <w:left w:w="28" w:type="dxa"/>
          <w:bottom w:w="28" w:type="dxa"/>
          <w:right w:w="28" w:type="dxa"/>
        </w:tblCellMar>
      </w:tblPr>
      <w:tblGrid>
        <w:gridCol w:w="2976"/>
        <w:gridCol w:w="146"/>
        <w:gridCol w:w="254"/>
        <w:gridCol w:w="689"/>
        <w:gridCol w:w="200"/>
        <w:gridCol w:w="176"/>
        <w:gridCol w:w="254"/>
        <w:gridCol w:w="689"/>
        <w:gridCol w:w="166"/>
        <w:gridCol w:w="146"/>
        <w:gridCol w:w="232"/>
        <w:gridCol w:w="630"/>
        <w:gridCol w:w="183"/>
        <w:gridCol w:w="161"/>
        <w:gridCol w:w="232"/>
        <w:gridCol w:w="630"/>
        <w:gridCol w:w="391"/>
      </w:tblGrid>
      <w:tr>
        <w:trPr/>
        <w:tc>
          <w:tcPr>
            <w:tcW w:w="2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Energy Equipment</w:t>
      </w:r>
    </w:p>
    <w:p>
      <w:pPr>
        <w:pStyle w:val="TextBody"/>
        <w:bidi w:val="0"/>
        <w:spacing w:before="120" w:after="283"/>
        <w:jc w:val="both"/>
        <w:rPr>
          <w:rFonts w:ascii="Times New Roman" w:hAnsi="Times New Roman"/>
          <w:sz w:val="20"/>
        </w:rPr>
      </w:pPr>
      <w:r>
        <w:rPr>
          <w:rFonts w:ascii="Times New Roman" w:hAnsi="Times New Roman"/>
          <w:i/>
          <w:caps/>
          <w:color w:val="000000"/>
          <w:sz w:val="20"/>
        </w:rPr>
        <w:t>t</w:t>
      </w:r>
      <w:r>
        <w:rPr>
          <w:rFonts w:ascii="Times New Roman" w:hAnsi="Times New Roman"/>
          <w:i/>
          <w:color w:val="000000"/>
          <w:sz w:val="20"/>
        </w:rPr>
        <w:t>hree and six months ended June 30, 2026 and 2025</w:t>
      </w:r>
      <w:r>
        <w:rPr>
          <w:rFonts w:ascii="Times New Roman" w:hAnsi="Times New Roman"/>
          <w:color w:val="000000"/>
          <w:sz w:val="20"/>
        </w:rPr>
        <w:t>. Revenue from Energy Equipment was $1,218 million for the three months ended June 30, 2026, compared to $1,207 million for the three months ended June 30, 2025, an increase of $11 million or 1 percent. For the six months ended June 30, 2026, revenue was $2,408 million compared to $2,353 million for the six months ended June 30, 2025, an increase of $55 million or 2 percent. Revenue remained relatively flat when compared to the prior year with higher sales of production related capital equipment, mostly offset by lower revenue from aftermarket parts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profit from Energy Equipment was $177 million for the three months ended June 30, 2026, compared to an operating profit of $122 million for the three months ended June 30, 2025, an increase of $55 million. Strong execution on offshore production equipment projects nearing completion, a more favorable sales mix, and a benefit of approximately $14 million related to tariff refunds drove the improvement in profitability for the three months ended June 30, 2026 when compared to the same period of the prior year. For the six months ended June 30, 2026, operating profit was $270 million compared to $256 million for the six months ended June 30, 2025, an increase of $14 million. Strong execution on offshore production related equipment projects, partially offset by disruptions in the Middle East during the first quarter of 2026, led to improved profitability for the six months ended June 30, 2026 when compared to the same period of the prior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Energy Equipment segment monitors its capital equipment backlog to plan its business. New orders are added to backlog only when the Company receives a firm written order for major completion and production components or a contract related to a construction project. The capital equipment backlog was $4.08 billion at June 30, 2026, a decrease of $220 million from backlog of $4.30 billion at June 30, 2025. Although numerous factors can affect the timing of revenue out of backlog (including, but not limited to, customer change orders, supplier accelerations or delays, and the current uncertainty and conflict in the Middle East), the Company reasonably expects approximately 29 percent of backlog to become revenue during the rest of 2026 and the remainder thereafter. At June 30, 2026, approximately 57 percent of the capital equipment backlog was for offshore products and approximately 94 percent of the capital equipment backlog was destined for international markets.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Energy Products and Services</w:t>
      </w:r>
    </w:p>
    <w:p>
      <w:pPr>
        <w:pStyle w:val="TextBody"/>
        <w:bidi w:val="0"/>
        <w:spacing w:before="120" w:after="283"/>
        <w:jc w:val="both"/>
        <w:rPr>
          <w:rFonts w:ascii="Times New Roman" w:hAnsi="Times New Roman"/>
          <w:sz w:val="20"/>
        </w:rPr>
      </w:pPr>
      <w:r>
        <w:rPr>
          <w:rFonts w:ascii="Times New Roman" w:hAnsi="Times New Roman"/>
          <w:i/>
          <w:caps/>
          <w:color w:val="000000"/>
          <w:sz w:val="20"/>
        </w:rPr>
        <w:t>t</w:t>
      </w:r>
      <w:r>
        <w:rPr>
          <w:rFonts w:ascii="Times New Roman" w:hAnsi="Times New Roman"/>
          <w:i/>
          <w:color w:val="000000"/>
          <w:sz w:val="20"/>
        </w:rPr>
        <w:t>hree and six months ended June 30, 2026 and 2025</w:t>
      </w:r>
      <w:r>
        <w:rPr>
          <w:rFonts w:ascii="Times New Roman" w:hAnsi="Times New Roman"/>
          <w:color w:val="000000"/>
          <w:sz w:val="20"/>
        </w:rPr>
        <w:t>. Revenue from Energy Products and Services was $974 million for the three months ended June 30, 2026, compared to $1,025 million for the three months ended June 30, 2025, a decrease of $51 million or 5 percent. For the six months ended June 30, 2026, revenue was $1,871 million compared to $2,017 million for the six months ended June 30, 2025, a decrease of $146 million or 7 percent. Revenue declines were primarily driven by a decrease in capital equipment sales which were impacted by the conflict in the Middle East, partially offset by market share gains from the segment’s drill bit and artificial lift operations, and continued growth in digital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profit from Energy Products and Services was $85 million for the three months ended June 30, 2026, compared to an operating profit of $83 million for the three months ended June 30, 2025, an increase of $2 million. For the six months ended June 30, 2026, operating profit was $111 million compared to $166 million for the six months ended June 30, 2025, a decrease of $55 million. Lower net tariff costs, which includes a benefit of approximately $26 million related to tariff refunds in the current quarter, helped profitability remain relatively flat for the three months ended June 30, 2026 when compared to the prior year, while lower capital equipment sales reduced manufacturing plant absorption and impacted profitability for the six months ended June 30, 2026 when compared to the same period of the prior year.</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Eliminations and corporate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Eliminations and corporate costs were $69 million and $141 million for the three and six months ended June 30, 2026, compared to $62 million and $127 million for the three and six months ended June 30,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from one segment to another generally are priced at estimated equivalent commercial selling prices; however, segments originating an external sale are credited with the full profit to the Company. Eliminations include intercompany transactions conducted between the two reporting segments that are eliminated in consolidation. Intrasegment transactions are eliminated within each segment. Eliminations increased 21 percent when compared to the second quarter of 2025 due to higher activity, and remained relatively flat on a year-to-date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Corporate costs remained relatively flat compared to the second quarter of 2025, while corporate costs increased 14 percent on a year-to-date basis primarily due to a non-recurring charge related to stock-based compensation during the first quarter of 2026 and other restructuring costs.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and financial costs and 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financial costs were $21 million and $43 million for the three and six months ended June 30, 2026, compared to $22 million and $44 million for the three and six months ended June 30, 2025, remaining relatively consistent year-over-year.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$8 million and $19 million for the three and six months ended June 30, 2026, compared to $10 million and $21 million for the three and six months ended June 30, 2025, remaining relatively consistent year-over-year.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Equity income (loss) in unconsolidated affiliates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Equity income (loss) in unconsolidated affiliates was $(5) million and $(8) million for the three and six months ended June 30, 2026, compared to $1 million for each of the three and six months ended June 30, 2025. Sales for our largest investment in unconsolidated affiliates declined 29 percent for the second quarter of 2026 when compared to the second quarter of 2025. For the six months ended June 30, 2026, sales declined 22 percent year-over-year. The decline in sales is primarily due to pricing pressures for oil country tubular goods which led to lower profitability year-over-year.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 net was $18 million and $16 million for the three and six months ended June 30, 2026, compared to $17 million and $37 million for three and six months ended June 30, 2025. The change in expense was primarily due to larger foreign currency fluctuations in the prior year, particularly with the devaluation of the U.S. Dollar.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 tax rate for the three and six months ended June 30, 2026 was 26.1% and 29.2%, respectively, compared to 0.9% and 20.3% for the same period of 2025. The U.S. statutory tax rate was 21% for all periods. The effective tax rate for the three months ended June 30, 2026 was negatively impacted by a mix of earnings in higher tax rate jurisdictions, partially offset by the release of previously recorded reserves for unrecognized tax benefits and adjustments to prior year taxes. The effective tax rate for the six months ended June 30, 2026 was negatively impacted by a mix of earnings in higher tax rate jurisdictions and a shortfall related to previously recognized stock compensation deductibility, partially offset by the release of previously recorded reserves for unrecognized tax benefits and adjustments to prior year taxes. The effective tax rate for the six months ended June 30, 2025 was positively impacted by the release of previously recorded reserves for unrecognized tax benefits of $58 million, partially offset by an increase to reserves for unrecognized tax benefits of $23 million, unfavorable adjustments related to the carrying value of deferred tax assets of $14 million, changes in certain foreign currency exchange rates of $4 million, and a mix of earnings in higher tax rate jurisdictions.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Non-GAAP Financial Measures and Reconciliations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Form 10-Q contains certain non-GAAP financial measures that management believes are useful tools for internal use and the investment community in evaluating NOV’s overall financial performance. These non-GAAP financial measures are broadly used to value and compare companies in the oilfield services and equipment industry. Not all companies define these measures in the same way. In addition, these non-GAAP financial measures are not a substitute for financial measures prepared in accordance with GAAP and should therefore be considered only as supplemental to such GAAP financial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defines Adjusted operating profit as operating profit excluding gains and losses on sales of fixed assets, and, when applicable, pre-tax Other Items. The Company defines Adjusted EBITDA as operating profit excluding depreciation, amortization, gains and losses on sales of fixed assets, and, when applicable, pre-tax Other Items. Adjusted operating profit % is a ratio showing Adjusted operating profit as a percentage of sales and Adjusted EBITDA % is a ratio showing Adjusted EBITDA as a percentage of sales. Management believes this is important information to provide because it is used by management to evaluate the Company’s operational performance and trends between periods and manage the business. Management also believes this information may be useful to investors and analysts to gain a better understanding of the Company’s results of ongoing operations. Adjusted operating profit, Adjusted operating profit %, Adjusted EBITDA, and Adjusted EBITDA % are not intended to replace GAAP financial measures, such as Net Income and operating profit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tables set forth the reconciliation of Adjusted EBITDA to its most comparable GAAP financial measure (in millions):</w:t>
      </w:r>
    </w:p>
    <w:tbl>
      <w:tblPr>
        <w:tblW w:w="9239" w:type="dxa"/>
        <w:jc w:val="left"/>
        <w:tblInd w:w="0" w:type="dxa"/>
        <w:tblLayout w:type="fixed"/>
        <w:tblCellMar>
          <w:top w:w="28" w:type="dxa"/>
          <w:left w:w="28" w:type="dxa"/>
          <w:bottom w:w="28" w:type="dxa"/>
          <w:right w:w="28" w:type="dxa"/>
        </w:tblCellMar>
      </w:tblPr>
      <w:tblGrid>
        <w:gridCol w:w="3316"/>
        <w:gridCol w:w="146"/>
        <w:gridCol w:w="211"/>
        <w:gridCol w:w="466"/>
        <w:gridCol w:w="271"/>
        <w:gridCol w:w="146"/>
        <w:gridCol w:w="211"/>
        <w:gridCol w:w="466"/>
        <w:gridCol w:w="271"/>
        <w:gridCol w:w="146"/>
        <w:gridCol w:w="266"/>
        <w:gridCol w:w="589"/>
        <w:gridCol w:w="271"/>
        <w:gridCol w:w="146"/>
        <w:gridCol w:w="211"/>
        <w:gridCol w:w="481"/>
        <w:gridCol w:w="271"/>
        <w:gridCol w:w="146"/>
        <w:gridCol w:w="211"/>
        <w:gridCol w:w="481"/>
        <w:gridCol w:w="5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profit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operating profit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Pre-tax 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pre-tax Other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(Gain) loss on sales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(gain) loss on sales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Adjusted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Adjusted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328</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&amp;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depreciation &amp;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504</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Adjusted EBITDA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Energy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Adjusted EBITDA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46"/>
        <w:gridCol w:w="146"/>
        <w:gridCol w:w="211"/>
        <w:gridCol w:w="421"/>
        <w:gridCol w:w="166"/>
        <w:gridCol w:w="146"/>
        <w:gridCol w:w="211"/>
        <w:gridCol w:w="421"/>
        <w:gridCol w:w="166"/>
        <w:gridCol w:w="146"/>
        <w:gridCol w:w="275"/>
        <w:gridCol w:w="550"/>
        <w:gridCol w:w="166"/>
        <w:gridCol w:w="146"/>
        <w:gridCol w:w="211"/>
        <w:gridCol w:w="421"/>
        <w:gridCol w:w="166"/>
        <w:gridCol w:w="146"/>
        <w:gridCol w:w="211"/>
        <w:gridCol w:w="421"/>
        <w:gridCol w:w="412"/>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Reconciliation of Adjusted operating profit and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GAAP net income attributable to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Interest and financial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Equity (income) loss in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(Gain) loss on sales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Pre-tax Other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Adjusted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504</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Overview</w:t>
      </w:r>
    </w:p>
    <w:p>
      <w:pPr>
        <w:pStyle w:val="TextBody"/>
        <w:bidi w:val="0"/>
        <w:jc w:val="both"/>
        <w:rPr>
          <w:rFonts w:ascii="Times New Roman" w:hAnsi="Times New Roman"/>
          <w:color w:val="000000"/>
          <w:sz w:val="20"/>
        </w:rPr>
      </w:pPr>
      <w:r>
        <w:rPr>
          <w:rFonts w:ascii="Times New Roman" w:hAnsi="Times New Roman"/>
          <w:color w:val="000000"/>
          <w:sz w:val="20"/>
        </w:rPr>
        <w:t>At June 30, 2026, the Company had cash and cash equivalents of $1,164 million and total debt of $1,706 million. At December 31, 2025, cash and cash equivalents were $1,552 million and total debt was $1,718 million. As of June 30, 2026, approximately $747 million of the $1,164 million of cash and cash equivalents was held by our foreign subsidiaries and the earnings associated with this cash could be subject to foreign withholding taxes and incremental U.S. taxation if transferred among countries or repatriated to the U.S. If opportunities to invest in the U.S. are greater than available cash balances that are not subject to income tax, rather than repatriating cash, the Company may choose to borrow against its revolving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 revolving credit facility with a borrowing capacity of $1.5 billion through September 12, 2030. The Company has the right to increase the aggregate commitments under this agreement to an aggregate amount of up to $2.5 billion upon the consent of only those lenders holding any such increase. Interest under the multicurrency facility is based upon Secured Overnight Financing Rate (SOFR), Euro Interbank Offered Rate (EURIBOR), Sterling Overnight Index Average (SONIA), Canadian Overnight Repo Rate Average (CORRA), or Norwegian Interbank Offered Rate (NIBOR), plus 1.25% subject to a ratings-based grid or the U.S. prime rate. The credit facility contains a financial covenant establishing a maximum debt-to-capitalization ratio of 60%. As of June 30, 2026, the Company was in compliance with a debt-to-capitalization ratio of 23.9% and had no borrowings or letters of credit issued under the facility, resulting in $1.5 billion of available funds.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consolidated joint venture of the Company borrowed $120 million against a $150 million bank line of credit, payable by June 2032, for the construction of a facility in Saudi Arabia. Interest under the bank line of credit is based upon SOFR plus 1.40%. The bank line of credit contains a financial covenant regarding maximum debt-to-equity ratio of 75%. As of June 30, 2026, the joint venture was in compliance and will not have future borrowings on the line of credit. As of June 30, 2026, the Company had $78 million in borrowings related to this line of credit. The Company has $12 million in payments related to this line of credit due in the next twelve months. The Company can repay the entire outstanding facility balance without penalty at its sole discretion.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debt at June 30, 2026 included $38 million of amounts owed to current minority interest partners of NOV consolidated joint ventures, of which $2 million is due in the next twelve months.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outstanding debt at June 30, 2026 also consisted of $1,092 million in 3.95% Senior Notes, maturing on December 1, 2042, and $497 million in 3.60% Senior Notes, maturing on December 1, 2029. The Company was in compliance with all covenants at June 30, 2026. Long-term lease liabilities totaled $520 million at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$909 million of outstanding letters of credit at June 30, 2026, primarily in Norway and the United States, that are under various bilateral letter of credit facilities. Letters of credit are issued as bid bonds, advanced payment bonds and performance bonds.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net cash provided by (used in) continuing operating activities, continuing investing activities and continuing financing activities for the periods presented (in millions):</w:t>
      </w:r>
    </w:p>
    <w:tbl>
      <w:tblPr>
        <w:tblW w:w="6641" w:type="dxa"/>
        <w:jc w:val="left"/>
        <w:tblInd w:w="0" w:type="dxa"/>
        <w:tblLayout w:type="fixed"/>
        <w:tblCellMar>
          <w:top w:w="28" w:type="dxa"/>
          <w:left w:w="28" w:type="dxa"/>
          <w:bottom w:w="28" w:type="dxa"/>
          <w:right w:w="28" w:type="dxa"/>
        </w:tblCellMar>
      </w:tblPr>
      <w:tblGrid>
        <w:gridCol w:w="4216"/>
        <w:gridCol w:w="146"/>
        <w:gridCol w:w="257"/>
        <w:gridCol w:w="587"/>
        <w:gridCol w:w="202"/>
        <w:gridCol w:w="178"/>
        <w:gridCol w:w="257"/>
        <w:gridCol w:w="587"/>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Significant uses of cash during the first six months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flows used in operating activities were $9 million, primarily driven by changes in the primary components of our working capital (receivables, inventories, accounts payable, and accrued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expenditures were $146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Dividend payments to our shareholders were $97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 repurchases were $130 million.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the change in exchange rates on cash flows was a decrease of $2 million for the first six months of 2026, and an increase of $19 million for the first six months of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cash on hand, cash generated from operations and amounts available under our credit facilities and from other sources of debt will be sufficient to fund operations, lease payments, working capital needs, capital expenditure requirements, dividends and financing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the Company repurchased approximately 3.2 million shares of common stock under the program for an aggregate amount of $63 million and 6.7 million shares of common stock under the program for an aggregate amount of $130 million, respectively. During the three and six months ended June 30, 2025, the Company repurchased approximately 5.5 million shares of common stock under the program for an aggregate amount of $69 million, and 10.9 million shares of common stock under the program for an aggregate amount of $150 million, respectively. The Company expects to return at least 50% of Excess Free Cash Flow (defined as cash flow from operations less capital expenditures and other investments, including acquisitions and divestitures), through a combination of quarterly base dividends, opportunistic stock buybacks, and an annual supplemental dividend to true-up returns to shareholders on an annual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pursue acquisition candidates, but the timing, size or success of any acquisition effort and the related potential capital commitments cannot be predicted. We continue to expect to fund future cash acquisitions primarily with cash flow from operations and borrowings, including the unborrowed portion of the revolving credit facility or new debt issuances, but may also issue additional equity either directly or in connection with acquisitions. There can be no assurance that additional financing for acquisitions will be available at terms acceptable to 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document contains, or has incorporated by reference, statements that are not historical facts, including estimates, projections, and statements relating to our business plans, objectives, and expected operating results that are “forward-looking statements” within the meaning of the Private Securities Litigation Reform Act of 1995. Such statements often contain words such as “may,” “can,” “likely,” “believe,” “plan,” “predict,” “potential,” “will,” “intend,” “think,” “should,” “expect,” “anticipate,” “estimate,” “forecast,” “expectation,” “goal,” “outlook,” “projected,” “projections,” “target,” and other similar words, although some such statements are expressed differently. Other oral or written statements we release to the public may also contain forward-looking statements. Forward-looking statements involve risk and uncertainties and reflect our best judgment based on current information. You should be aware that our actual results could differ materially from results anticipated in such forward-looking statements due to a number of factors, including but not limited to changes in oil and gas prices, customer demand for our products, challenges related to NOV’s operations in the Middle East, potential catastrophic events related to our operations, protection of intellectual property rights, compliance with laws, and worldwide economic activity, including matters related to recent Russian sanctions and changes in U.S. trade policies, including the imposition of tariffs and retaliatory tariffs and their related impacts on the economy. Given these uncertainties, current or prospective investors are cautioned not to place undue reliance on any such forward-looking statements. We undertake no obligation to update any such factors or forward-looking statements to reflect future events or developments. You should also consider carefully the statements under “Risk Factors,” as disclosed in our most recent Annual Report on Form 10-K, as updated in Part II, Item 1A of our most recent Quarterly Report on Form 10-Q, and “Management’s Discussion and Analysis of Financial Condition and Results of Operations” of our most recent Annual Report on Form 10-K, which address additional factors that could cause our actual results to differ from those set forth in such forward-looking statements, as well as additional disclosures we make in our press releases and other securities filings. We also suggest that you listen to our quarterly earnings release conference calls with financial analysts.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changes in foreign currency exchange rates and interest rates. Additional information concerning each of these matters follows: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Foreign Currency Exchange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extensive operations in foreign countries. The net assets and liabilities of these operations are exposed to changes in foreign currency exchange rates, although such fluctuations have a muted effect on net income since the functional currency for the majority of them is the local currency. These operations also have net assets and liabilities not denominated in the functional currency, which exposes us to changes in foreign currency exchange rates that impact income. We recorded a foreign exchange loss in our income statement of $11 million in the first six months of 2026, compared to a $31 million foreign exchange loss in the same period of the prior year. Gains and losses are primarily due to exchange rate fluctuations related to monetary asset balances denominated in currencies other than the functional currency and adjustments to our hedged positions as a result of changes in foreign currency exchange rates. Currency exchange rate fluctuations may create losses in future periods to the extent we maintain net monetary assets and liabilities not denominated in the functional currency of the NOV operation.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revenues in foreign countries are denominated in U.S. dollars, and therefore, changes in foreign currency exchange rates impact our earnings to the extent that costs associated with those U.S. dollar revenues are denominated in the local currency. Similarly, some of our revenues are denominated in foreign currencies, but have associated U.S. dollar costs, which also give rise to foreign currency exchange rate exposure. In order to mitigate that risk, we may utilize foreign currency forward contracts to better match the currency of our revenues and associated costs. We do not use foreign currency forward contracts for trading or speculative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other financial market risk sensitive instruments (cash balances, overdraft facilities, accounts receivable and accounts payable) denominated in foreign currencies with transactional exposures totaling $592 million and translation exposures totaling $430 million as of June 30, 2026. The Company estimates that a hypothetical 10% movement of all applicable foreign currency exchange rates on the transactional exposures could affect net income by $47 million and the translational exposures could affect other comprehensive income by $43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counterparties to forward contracts are major financial institutions. The credit ratings and concentration of risk of these financial institutions are monitored on a continuing basis. Because these contracts are net-settled the Company’s credit risk with the counterparties is limited to the foreign currency rate differential at the end of the contract.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borrowings consisted of $1,092 million in 3.95% Senior Notes, $497 million in 3.60% Senior Notes, and other debt of $117 million. At June 30, 2026, there were no outstanding letters of credit issued under the Company’s revolving credit facility, resulting in $1.5 billion of available funds. Additionally, the Company’s joint venture has outstanding borrowings of $78 million under a $150 million bank line of credit for the construction of a facility in Saudi Arabia. Interest under the bank line of credit is based upon SOFR plus 1.40%. Occasionally a portion of borrowings under our credit facility could be denominated in multiple currencies which could expose us to market risk with exchange rate movements. These instruments carry interest at a pre-agreed upon percentage point spread from either SOFR, EURIBOR, SONIA, CORRA, or NIBOR, or at the U.S. prime rate. Under our credit facility, we may, at our option, fix the interest rate for certain borrowings based on a spread over SOFR, EURIBOR, SONIA, CORRA or NIBOR for one month to six months. Our objective is to maintain a portion of our debt in variable rate borrowings for the flexibility obtained regarding early repayment without penalties and lower overall cost as compared with fixed-rate borrowings.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end of the period covered by this report,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The Company’s disclosure controls and procedures are designed to provide reasonable assurance that the information required to be disclosed by the Company in the reports it files under the Exchange Act is accumulated and communicated to the Company’s management, including the Company’s Chief Executive Officer and Chief Financial Officer, as appropriate, to allow timely decisions regarding required disclosures and is recorded, processed, summarized and reported within the time period specified in the rules and forms of the Securities and Exchange Commission. Based upon that evaluation, the Company’s Chief Executive Officer and Chief Financial Officer concluded that the Company’s disclosure controls and procedures are effective as of the end of the period covered by this report at a reasonable assurance level.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has been no change in our internal control over financial reporting (as defined in Rule 13a-15(f) under the Exchange Act) that occurred during our last fiscal quarter that has materially affected, or is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II - OTHER 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date of this filing, the Company and its operations continue to be subject to the risk factors previously disclosed in Part I, Item 1A “Risk Factors” in our 2025 Annual Report on Form 10-K for the fiscal year ended December 31, 2025.</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Item 2. Purchases of Equity Securities by the Issuer and Affiliated Purchasers</w:t>
      </w:r>
    </w:p>
    <w:tbl>
      <w:tblPr>
        <w:tblW w:w="8849" w:type="dxa"/>
        <w:jc w:val="left"/>
        <w:tblInd w:w="0" w:type="dxa"/>
        <w:tblLayout w:type="fixed"/>
        <w:tblCellMar>
          <w:top w:w="28" w:type="dxa"/>
          <w:left w:w="28" w:type="dxa"/>
          <w:bottom w:w="28" w:type="dxa"/>
          <w:right w:w="28" w:type="dxa"/>
        </w:tblCellMar>
      </w:tblPr>
      <w:tblGrid>
        <w:gridCol w:w="2611"/>
        <w:gridCol w:w="146"/>
        <w:gridCol w:w="148"/>
        <w:gridCol w:w="947"/>
        <w:gridCol w:w="146"/>
        <w:gridCol w:w="146"/>
        <w:gridCol w:w="222"/>
        <w:gridCol w:w="603"/>
        <w:gridCol w:w="146"/>
        <w:gridCol w:w="146"/>
        <w:gridCol w:w="193"/>
        <w:gridCol w:w="1232"/>
        <w:gridCol w:w="146"/>
        <w:gridCol w:w="146"/>
        <w:gridCol w:w="262"/>
        <w:gridCol w:w="1418"/>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w:t>
              <w:br/>
              <w:t>of shares</w:t>
              <w:br/>
              <w:t>purchased</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w:t>
              <w:br/>
              <w:t>shares purchased</w:t>
              <w:br/>
              <w:t>as part of publicly</w:t>
              <w:br/>
              <w:t>announced plans</w:t>
              <w:br/>
              <w:t>or programs</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w:t>
              <w:br/>
              <w:t>value of shares that</w:t>
              <w:br/>
              <w:t>may yet be purchased</w:t>
              <w:br/>
              <w:t>under the plans or</w:t>
              <w:br/>
              <w:t>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362,703,607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through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349,955,114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through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326,593,050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3,206,685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3,204,500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total number of shares purchased includes 2,185 shares that were withheld from employees’ vesting of restricted stock grants, as required for income taxes, and retired.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25, 2024, the Company established a share repurchase program for up to $1 billion of the currently outstanding shares of the Company’s common stock over a period of 36 months.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regarding mine safety and other regulatory actions at our mines is included in Exhibit 95 to this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June 30, 2026, no director or Section 16 officer adopted or terminated any Rule 10b5-1 trading arrangements or non-Rule 10b5-1 trading arrangements, as defined under Item 408(a) of Regulation S-K.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6.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Reference is hereby made to the Exhibit Index commencing on page 30.</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INDEX TO EXHIBITS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Exhibits</w:t>
      </w:r>
    </w:p>
    <w:tbl>
      <w:tblPr>
        <w:tblW w:w="10205" w:type="dxa"/>
        <w:jc w:val="left"/>
        <w:tblInd w:w="0" w:type="dxa"/>
        <w:tblLayout w:type="fixed"/>
        <w:tblCellMar>
          <w:top w:w="28" w:type="dxa"/>
          <w:left w:w="28" w:type="dxa"/>
          <w:bottom w:w="28" w:type="dxa"/>
          <w:right w:w="28" w:type="dxa"/>
        </w:tblCellMar>
      </w:tblPr>
      <w:tblGrid>
        <w:gridCol w:w="732"/>
        <w:gridCol w:w="146"/>
        <w:gridCol w:w="9327"/>
      </w:tblGrid>
      <w:tr>
        <w:trPr/>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7" w:type="dxa"/>
            <w:tcBorders/>
            <w:vAlign w:val="center"/>
          </w:tcPr>
          <w:p>
            <w:pPr>
              <w:pStyle w:val="TableContents"/>
              <w:bidi w:val="0"/>
              <w:spacing w:before="0" w:after="283"/>
              <w:jc w:val="left"/>
              <w:rPr>
                <w:sz w:val="4"/>
                <w:szCs w:val="4"/>
              </w:rPr>
            </w:pPr>
            <w:r>
              <w:rPr>
                <w:sz w:val="4"/>
                <w:szCs w:val="4"/>
              </w:rPr>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Seventh Amended and Restated Certificate of Incorporation of NOV Inc. (1)</w:t>
              </w:r>
            </w:hyperlink>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NOV Inc. (2)</w:t>
              </w:r>
            </w:hyperlink>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v-ex31_1.htm">
              <w:r>
                <w:rPr>
                  <w:rStyle w:val="InternetLink"/>
                  <w:rFonts w:ascii="Times New Roman" w:hAnsi="Times New Roman"/>
                  <w:color w:val="0000FF"/>
                  <w:sz w:val="20"/>
                  <w:u w:val="single"/>
                </w:rPr>
                <w:t>Certification pursuant to Rule 13a-14a and Rule 15d-14(a) of the Securities and Exchange Act, as amended. (3)</w:t>
              </w:r>
            </w:hyperlink>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v-ex31_2.htm">
              <w:r>
                <w:rPr>
                  <w:rStyle w:val="InternetLink"/>
                  <w:rFonts w:ascii="Times New Roman" w:hAnsi="Times New Roman"/>
                  <w:color w:val="0000FF"/>
                  <w:sz w:val="20"/>
                  <w:u w:val="single"/>
                </w:rPr>
                <w:t>Certification pursuant to Rule 13a-14a and Rule 15d-14(a) of the Securities and Exchange Act, as amended. (3)</w:t>
              </w:r>
            </w:hyperlink>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v-ex32_1.htm">
              <w:r>
                <w:rPr>
                  <w:rStyle w:val="InternetLink"/>
                  <w:rFonts w:ascii="Times New Roman" w:hAnsi="Times New Roman"/>
                  <w:color w:val="0000FF"/>
                  <w:sz w:val="20"/>
                  <w:u w:val="single"/>
                </w:rPr>
                <w:t>Certification pursuant to Section 906 of the Sarbanes-Oxley Act of 2002. (3)</w:t>
              </w:r>
            </w:hyperlink>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v-ex32_2.htm">
              <w:r>
                <w:rPr>
                  <w:rStyle w:val="InternetLink"/>
                  <w:rFonts w:ascii="Times New Roman" w:hAnsi="Times New Roman"/>
                  <w:color w:val="0000FF"/>
                  <w:sz w:val="20"/>
                  <w:u w:val="single"/>
                </w:rPr>
                <w:t>Certification pursuant to Section 906 of the Sarbanes-Oxley Act of 2002. (3)</w:t>
              </w:r>
            </w:hyperlink>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v-ex95.htm">
              <w:r>
                <w:rPr>
                  <w:rStyle w:val="InternetLink"/>
                  <w:rFonts w:ascii="Times New Roman" w:hAnsi="Times New Roman"/>
                  <w:color w:val="0000FF"/>
                  <w:sz w:val="20"/>
                  <w:u w:val="single"/>
                </w:rPr>
                <w:t>Mine Safety Information pursuant to section 1503 of the Dodd-Frank Act. (3)</w:t>
              </w:r>
            </w:hyperlink>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8"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Compensatory plan or arrangement for management or others.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Filed as Exhibit 3.1 to our Current Report on Form 8-K filed on May 18,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Filed as Exhibit 3.1 to our Current Report on Form 8-K filed on February 28,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hereby undertake, pursuant to Regulation S-K, Item 601(b), paragraph (4) (iii), to furnish to the U.S. Securities and Exchange Commission, upon request, all constituent instruments defining the rights of holders of our long-term debt not filed herewith.</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7110" w:type="dxa"/>
        <w:jc w:val="left"/>
        <w:tblInd w:w="0" w:type="dxa"/>
        <w:tblLayout w:type="fixed"/>
        <w:tblCellMar>
          <w:top w:w="28" w:type="dxa"/>
          <w:left w:w="28" w:type="dxa"/>
          <w:bottom w:w="28" w:type="dxa"/>
          <w:right w:w="28" w:type="dxa"/>
        </w:tblCellMar>
      </w:tblPr>
      <w:tblGrid>
        <w:gridCol w:w="1711"/>
        <w:gridCol w:w="879"/>
        <w:gridCol w:w="341"/>
        <w:gridCol w:w="4179"/>
      </w:tblGrid>
      <w:tr>
        <w:trPr/>
        <w:tc>
          <w:tcPr>
            <w:tcW w:w="17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79"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Date: July 29, 2026</w:t>
            </w:r>
          </w:p>
        </w:tc>
        <w:tc>
          <w:tcPr>
            <w:tcW w:w="8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By:</w:t>
            </w:r>
          </w:p>
        </w:tc>
        <w:tc>
          <w:tcPr>
            <w:tcW w:w="341" w:type="dxa"/>
            <w:tcBorders/>
            <w:tcMar>
              <w:top w:w="0" w:type="dxa"/>
              <w:left w:w="0" w:type="dxa"/>
              <w:bottom w:w="0" w:type="dxa"/>
              <w:right w:w="0" w:type="dxa"/>
            </w:tcMar>
            <w:vAlign w:val="center"/>
          </w:tcPr>
          <w:p>
            <w:pPr>
              <w:pStyle w:val="TableContents"/>
              <w:bidi w:val="0"/>
              <w:spacing w:before="0" w:after="283"/>
              <w:jc w:val="both"/>
              <w:rPr/>
            </w:pPr>
            <w:r>
              <w:rPr/>
              <w:t> </w:t>
            </w:r>
          </w:p>
        </w:tc>
        <w:tc>
          <w:tcPr>
            <w:tcW w:w="417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Christy H. Novak</w:t>
            </w:r>
          </w:p>
        </w:tc>
      </w:tr>
      <w:tr>
        <w:trPr/>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c>
          <w:tcPr>
            <w:tcW w:w="5399"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Christy H. Novak</w:t>
            </w:r>
          </w:p>
        </w:tc>
      </w:tr>
      <w:tr>
        <w:trPr/>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c>
          <w:tcPr>
            <w:tcW w:w="5399"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Vice President, Corporate Controller &amp; Chief Accounting Officer</w:t>
            </w:r>
          </w:p>
        </w:tc>
      </w:tr>
      <w:tr>
        <w:trPr/>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c>
          <w:tcPr>
            <w:tcW w:w="5399"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(Duly Authorized Officer, Principal Accounting Officer)</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nov-ex31_1.htm"/>
      <w:bookmarkStart w:id="3" w:name="ksnovex31_1"/>
      <w:bookmarkEnd w:id="2"/>
      <w:bookmarkEnd w:id="3"/>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Jose A. Bayardo, certify that: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 I have reviewed this quarterly report on Form 10-Q of NOV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July 29, 2026</w:t>
      </w:r>
    </w:p>
    <w:p>
      <w:pPr>
        <w:pStyle w:val="TextBody"/>
        <w:bidi w:val="0"/>
        <w:jc w:val="left"/>
        <w:rPr/>
      </w:pPr>
      <w:r>
        <w:rPr/>
        <w:t> </w:t>
      </w:r>
    </w:p>
    <w:tbl>
      <w:tblPr>
        <w:tblW w:w="3269" w:type="dxa"/>
        <w:jc w:val="left"/>
        <w:tblInd w:w="0" w:type="dxa"/>
        <w:tblLayout w:type="fixed"/>
        <w:tblCellMar>
          <w:top w:w="28" w:type="dxa"/>
          <w:left w:w="28" w:type="dxa"/>
          <w:bottom w:w="28" w:type="dxa"/>
          <w:right w:w="28" w:type="dxa"/>
        </w:tblCellMar>
      </w:tblPr>
      <w:tblGrid>
        <w:gridCol w:w="568"/>
        <w:gridCol w:w="212"/>
        <w:gridCol w:w="2489"/>
      </w:tblGrid>
      <w:tr>
        <w:trPr/>
        <w:tc>
          <w:tcPr>
            <w:tcW w:w="5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r>
      <w:tr>
        <w:trPr/>
        <w:tc>
          <w:tcPr>
            <w:tcW w:w="5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By:</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248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Jose A. Bayardo</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 A. Bayardo</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 w:name="nov-ex31_2.htm"/>
      <w:bookmarkStart w:id="5" w:name="ksnovex31_2"/>
      <w:bookmarkEnd w:id="4"/>
      <w:bookmarkEnd w:id="5"/>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Rodney C. Reed, certify that: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 I have reviewed this quarterly report on Form 10-Q of NOV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July 29, 2026</w:t>
      </w:r>
    </w:p>
    <w:p>
      <w:pPr>
        <w:pStyle w:val="TextBody"/>
        <w:bidi w:val="0"/>
        <w:jc w:val="left"/>
        <w:rPr/>
      </w:pPr>
      <w:r>
        <w:rPr/>
        <w:t> </w:t>
      </w:r>
    </w:p>
    <w:tbl>
      <w:tblPr>
        <w:tblW w:w="4154" w:type="dxa"/>
        <w:jc w:val="left"/>
        <w:tblInd w:w="0" w:type="dxa"/>
        <w:tblLayout w:type="fixed"/>
        <w:tblCellMar>
          <w:top w:w="28" w:type="dxa"/>
          <w:left w:w="28" w:type="dxa"/>
          <w:bottom w:w="28" w:type="dxa"/>
          <w:right w:w="28" w:type="dxa"/>
        </w:tblCellMar>
      </w:tblPr>
      <w:tblGrid>
        <w:gridCol w:w="732"/>
        <w:gridCol w:w="273"/>
        <w:gridCol w:w="3149"/>
      </w:tblGrid>
      <w:tr>
        <w:trPr/>
        <w:tc>
          <w:tcPr>
            <w:tcW w:w="73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By:</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31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Rodney C. Reed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Rodney C. Reed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6" w:name="nov-ex32_1.htm"/>
      <w:bookmarkStart w:id="7" w:name="ksnovex32_1"/>
      <w:bookmarkEnd w:id="6"/>
      <w:bookmarkEnd w:id="7"/>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Quarterly Report of NOV Inc. (the “Company”) on Form 10-Q for the period ending June 30, 2026 as filed with the Securities and Exchange Commission on the date hereof (the “Report”), the undersigned, Jose A. Bayardo, Chairman and Chief Executive Officer of the Company, hereby certifies, pursuant to 18 U.S.C. Section 1350, as adopted pursuant to Section 906 of the Sarbanes-Oxley Act of 2002, that: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The Report fully complies with the requirements of Section 13(a) or 15(d) of the Securities Exchange Act of 1934;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certification is given to the knowledge of the undersigned. </w:t>
      </w:r>
    </w:p>
    <w:p>
      <w:pPr>
        <w:pStyle w:val="TextBody"/>
        <w:bidi w:val="0"/>
        <w:jc w:val="left"/>
        <w:rPr/>
      </w:pPr>
      <w:r>
        <w:rPr/>
        <w:t> </w:t>
      </w:r>
    </w:p>
    <w:tbl>
      <w:tblPr>
        <w:tblW w:w="4048" w:type="dxa"/>
        <w:jc w:val="left"/>
        <w:tblInd w:w="0" w:type="dxa"/>
        <w:tblLayout w:type="fixed"/>
        <w:tblCellMar>
          <w:top w:w="28" w:type="dxa"/>
          <w:left w:w="28" w:type="dxa"/>
          <w:bottom w:w="28" w:type="dxa"/>
          <w:right w:w="28" w:type="dxa"/>
        </w:tblCellMar>
      </w:tblPr>
      <w:tblGrid>
        <w:gridCol w:w="646"/>
        <w:gridCol w:w="146"/>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Jose A. Bayardo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 A. Bayardo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8" w:name="nov-ex32_2.htm"/>
      <w:bookmarkStart w:id="9" w:name="ksnovex32_2"/>
      <w:bookmarkEnd w:id="8"/>
      <w:bookmarkEnd w:id="9"/>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Quarterly Report of NOV Inc. (the “Company”) on Form 10-Q for the period ending June 30, 2026 as filed with the Securities and Exchange Commission on the date hereof (the “Report”), the undersigned, Rodney C. Reed, Senior Vice President and Chief Financial Officer of the Company, hereby certifies, pursuant to 18 U.S.C. Section 1350, as adopted pursuant to Section 906 of the Sarbanes-Oxley Act of 2002, that: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The Report fully complies with the requirements of Section 13(a) or 15(d) of the Securities Exchange Act of 1934;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certification is given to the knowledge of the undersigned. </w:t>
      </w:r>
    </w:p>
    <w:p>
      <w:pPr>
        <w:pStyle w:val="TextBody"/>
        <w:bidi w:val="0"/>
        <w:jc w:val="left"/>
        <w:rPr/>
      </w:pPr>
      <w:r>
        <w:rPr/>
        <w:t> </w:t>
      </w:r>
    </w:p>
    <w:tbl>
      <w:tblPr>
        <w:tblW w:w="4933" w:type="dxa"/>
        <w:jc w:val="left"/>
        <w:tblInd w:w="0" w:type="dxa"/>
        <w:tblLayout w:type="fixed"/>
        <w:tblCellMar>
          <w:top w:w="28" w:type="dxa"/>
          <w:left w:w="28" w:type="dxa"/>
          <w:bottom w:w="28" w:type="dxa"/>
          <w:right w:w="28" w:type="dxa"/>
        </w:tblCellMar>
      </w:tblPr>
      <w:tblGrid>
        <w:gridCol w:w="646"/>
        <w:gridCol w:w="146"/>
        <w:gridCol w:w="41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Rodney C. Reed</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Rodney C. Reed</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nov-ex95.htm"/>
      <w:bookmarkStart w:id="11" w:name="ksnovex95"/>
      <w:bookmarkEnd w:id="10"/>
      <w:bookmarkEnd w:id="1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95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Mine Safety Disclosures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mines are operated subject to the regulation of the Federal Mine Safety and Health Administration (“MSHA”), under the Federal Mine Safety and Health Act of 1977 (the “Mine Act”). The following mine safety data is provided pursuant to the Dodd-Frank Wall Street Reform and Consumer Protection Act (the “Dodd-Frank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by the reporting requirements of the Dodd-Frank Act, as amended, the table below presents the following information for the quarter ended June 30, 2026. (in whole dollars) (Unaudited)</w:t>
      </w:r>
    </w:p>
    <w:p>
      <w:pPr>
        <w:pStyle w:val="TextBody"/>
        <w:bidi w:val="0"/>
        <w:spacing w:before="240" w:after="283"/>
        <w:jc w:val="left"/>
        <w:rPr>
          <w:rFonts w:ascii="Times New Roman" w:hAnsi="Times New Roman"/>
          <w:color w:val="FFFFFF"/>
          <w:sz w:val="20"/>
        </w:rPr>
      </w:pPr>
      <w:r>
        <w:rPr>
          <w:rFonts w:ascii="Times New Roman" w:hAnsi="Times New Roman"/>
          <w:color w:val="FFFFFF"/>
          <w:sz w:val="20"/>
        </w:rPr>
        <w:t xml:space="preserve">Includes legal actions initiated during the period. </w:t>
      </w:r>
    </w:p>
    <w:tbl>
      <w:tblPr>
        <w:tblW w:w="10202" w:type="dxa"/>
        <w:jc w:val="left"/>
        <w:tblInd w:w="0" w:type="dxa"/>
        <w:tblLayout w:type="fixed"/>
        <w:tblCellMar>
          <w:top w:w="28" w:type="dxa"/>
          <w:left w:w="28" w:type="dxa"/>
          <w:bottom w:w="28" w:type="dxa"/>
          <w:right w:w="28" w:type="dxa"/>
        </w:tblCellMar>
      </w:tblPr>
      <w:tblGrid>
        <w:gridCol w:w="1816"/>
        <w:gridCol w:w="109"/>
        <w:gridCol w:w="526"/>
        <w:gridCol w:w="223"/>
        <w:gridCol w:w="466"/>
        <w:gridCol w:w="109"/>
        <w:gridCol w:w="526"/>
        <w:gridCol w:w="223"/>
        <w:gridCol w:w="601"/>
        <w:gridCol w:w="223"/>
        <w:gridCol w:w="466"/>
        <w:gridCol w:w="109"/>
        <w:gridCol w:w="247"/>
        <w:gridCol w:w="474"/>
        <w:gridCol w:w="109"/>
        <w:gridCol w:w="109"/>
        <w:gridCol w:w="541"/>
        <w:gridCol w:w="109"/>
        <w:gridCol w:w="601"/>
        <w:gridCol w:w="109"/>
        <w:gridCol w:w="571"/>
        <w:gridCol w:w="109"/>
        <w:gridCol w:w="496"/>
        <w:gridCol w:w="109"/>
        <w:gridCol w:w="511"/>
        <w:gridCol w:w="109"/>
        <w:gridCol w:w="601"/>
      </w:tblGrid>
      <w:tr>
        <w:trPr/>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Received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Notice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Received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of</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Legal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Total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Notice of</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Potential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Actions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Section</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Total Dollar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Number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Pattern of</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to have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Pending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Legal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Legal</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Section</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104(d)</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Value of</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of</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Violations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Patterns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as of</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Actions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Actions</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Section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Citations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Section</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Section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MSHA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Mining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Under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Under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Last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Initiated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Resolved</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S&amp;S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104(b)</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and</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110(b)(2)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Assessments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Related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Section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Section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Day of</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During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During</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Mine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Citations</w:t>
            </w:r>
          </w:p>
        </w:tc>
        <w:tc>
          <w:tcPr>
            <w:tcW w:w="2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Orders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Orders</w:t>
            </w:r>
          </w:p>
        </w:tc>
        <w:tc>
          <w:tcPr>
            <w:tcW w:w="2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Violations</w:t>
            </w:r>
          </w:p>
        </w:tc>
        <w:tc>
          <w:tcPr>
            <w:tcW w:w="2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Orders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Proposed</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Fatalities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Period</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Period</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Period</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Dry Creek (26-02646)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no</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no</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Osino Barite Mill (26-02724)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no</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no</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21860/000119312523148208/d460588dex31.htm" TargetMode="External"/><Relationship Id="rId5" Type="http://schemas.openxmlformats.org/officeDocument/2006/relationships/hyperlink" Target="https://www.sec.gov/Archives/edgar/data/1021860/000119312523053963/d443168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16001</Words>
  <Characters>84134</Characters>
  <CharactersWithSpaces>102240</CharactersWithSpaces>
  <Paragraphs>8249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