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73660</wp:posOffset>
            </wp:positionV>
            <wp:extent cx="11264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6490" cy="762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160655</wp:posOffset>
            </wp:positionV>
            <wp:extent cx="11264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6490" cy="7620"/>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96520</wp:posOffset>
            </wp:positionV>
            <wp:extent cx="11264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6490" cy="7620"/>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NOV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69850</wp:posOffset>
            </wp:positionV>
            <wp:extent cx="11264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6490" cy="7620"/>
                    </a:xfrm>
                    <a:prstGeom prst="rect">
                      <a:avLst/>
                    </a:prstGeom>
                    <a:noFill/>
                  </pic:spPr>
                </pic:pic>
              </a:graphicData>
            </a:graphic>
          </wp:anchor>
        </w:drawing>
      </w:r>
    </w:p>
    <w:p>
      <w:pPr>
        <w:spacing w:after="0" w:line="344" w:lineRule="exact"/>
        <w:rPr>
          <w:sz w:val="24"/>
          <w:szCs w:val="24"/>
          <w:color w:val="auto"/>
        </w:rPr>
      </w:pPr>
    </w:p>
    <w:tbl>
      <w:tblPr>
        <w:tblLayout w:type="fixed"/>
        <w:tblInd w:w="1160" w:type="dxa"/>
        <w:tblCellMar>
          <w:top w:w="0" w:type="dxa"/>
          <w:left w:w="0" w:type="dxa"/>
          <w:bottom w:w="0" w:type="dxa"/>
          <w:right w:w="0" w:type="dxa"/>
        </w:tblCellMar>
      </w:tblPr>
      <w:tr>
        <w:trPr>
          <w:trHeight w:val="186"/>
        </w:trPr>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860" w:type="dxa"/>
            <w:vAlign w:val="bottom"/>
            <w:gridSpan w:val="2"/>
          </w:tcPr>
          <w:p>
            <w:pPr>
              <w:jc w:val="center"/>
              <w:ind w:left="2226"/>
              <w:spacing w:after="0"/>
              <w:rPr>
                <w:sz w:val="20"/>
                <w:szCs w:val="20"/>
                <w:color w:val="auto"/>
              </w:rPr>
            </w:pPr>
            <w:r>
              <w:rPr>
                <w:rFonts w:ascii="Times New Roman" w:cs="Times New Roman" w:eastAsia="Times New Roman" w:hAnsi="Times New Roman"/>
                <w:sz w:val="16"/>
                <w:szCs w:val="16"/>
                <w:b w:val="1"/>
                <w:bCs w:val="1"/>
                <w:color w:val="auto"/>
                <w:w w:val="97"/>
              </w:rPr>
              <w:t>1-12317</w:t>
            </w:r>
          </w:p>
        </w:tc>
        <w:tc>
          <w:tcPr>
            <w:tcW w:w="1920" w:type="dxa"/>
            <w:vAlign w:val="bottom"/>
          </w:tcPr>
          <w:p>
            <w:pPr>
              <w:spacing w:after="0"/>
              <w:rPr>
                <w:sz w:val="16"/>
                <w:szCs w:val="16"/>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76-0475815</w:t>
            </w:r>
          </w:p>
        </w:tc>
      </w:tr>
      <w:tr>
        <w:trPr>
          <w:trHeight w:val="130"/>
        </w:trPr>
        <w:tc>
          <w:tcPr>
            <w:tcW w:w="15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2080" w:type="dxa"/>
            <w:vAlign w:val="bottom"/>
          </w:tcPr>
          <w:p>
            <w:pPr>
              <w:spacing w:after="0"/>
              <w:rPr>
                <w:sz w:val="11"/>
                <w:szCs w:val="11"/>
                <w:color w:val="auto"/>
              </w:rPr>
            </w:pPr>
          </w:p>
        </w:tc>
        <w:tc>
          <w:tcPr>
            <w:tcW w:w="3700" w:type="dxa"/>
            <w:vAlign w:val="bottom"/>
            <w:gridSpan w:val="2"/>
          </w:tcPr>
          <w:p>
            <w:pPr>
              <w:jc w:val="center"/>
              <w:ind w:right="1680"/>
              <w:spacing w:after="0" w:line="130" w:lineRule="exact"/>
              <w:rPr>
                <w:sz w:val="20"/>
                <w:szCs w:val="20"/>
                <w:color w:val="auto"/>
              </w:rPr>
            </w:pPr>
            <w:r>
              <w:rPr>
                <w:rFonts w:ascii="Times New Roman" w:cs="Times New Roman" w:eastAsia="Times New Roman" w:hAnsi="Times New Roman"/>
                <w:sz w:val="13"/>
                <w:szCs w:val="13"/>
                <w:b w:val="1"/>
                <w:bCs w:val="1"/>
                <w:color w:val="auto"/>
                <w:w w:val="95"/>
              </w:rPr>
              <w:t>(Commission</w:t>
            </w:r>
          </w:p>
        </w:tc>
        <w:tc>
          <w:tcPr>
            <w:tcW w:w="1520" w:type="dxa"/>
            <w:vAlign w:val="bottom"/>
          </w:tcPr>
          <w:p>
            <w:pPr>
              <w:jc w:val="center"/>
              <w:ind w:left="451"/>
              <w:spacing w:after="0" w:line="130"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Incorporation)</w:t>
            </w:r>
          </w:p>
        </w:tc>
        <w:tc>
          <w:tcPr>
            <w:tcW w:w="2080" w:type="dxa"/>
            <w:vAlign w:val="bottom"/>
          </w:tcPr>
          <w:p>
            <w:pPr>
              <w:spacing w:after="0"/>
              <w:rPr>
                <w:sz w:val="14"/>
                <w:szCs w:val="14"/>
                <w:color w:val="auto"/>
              </w:rPr>
            </w:pPr>
          </w:p>
        </w:tc>
        <w:tc>
          <w:tcPr>
            <w:tcW w:w="3700" w:type="dxa"/>
            <w:vAlign w:val="bottom"/>
            <w:gridSpan w:val="2"/>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1520" w:type="dxa"/>
            <w:vAlign w:val="bottom"/>
          </w:tcPr>
          <w:p>
            <w:pPr>
              <w:jc w:val="center"/>
              <w:ind w:left="45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369"/>
        </w:trPr>
        <w:tc>
          <w:tcPr>
            <w:tcW w:w="1500" w:type="dxa"/>
            <w:vAlign w:val="bottom"/>
          </w:tcPr>
          <w:p>
            <w:pPr>
              <w:spacing w:after="0"/>
              <w:rPr>
                <w:sz w:val="24"/>
                <w:szCs w:val="24"/>
                <w:color w:val="auto"/>
              </w:rPr>
            </w:pPr>
          </w:p>
        </w:tc>
        <w:tc>
          <w:tcPr>
            <w:tcW w:w="57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w w:val="98"/>
              </w:rPr>
              <w:t>10353 Richmond Ave.</w:t>
            </w:r>
          </w:p>
        </w:tc>
        <w:tc>
          <w:tcPr>
            <w:tcW w:w="1520" w:type="dxa"/>
            <w:vAlign w:val="bottom"/>
          </w:tcPr>
          <w:p>
            <w:pPr>
              <w:spacing w:after="0"/>
              <w:rPr>
                <w:sz w:val="24"/>
                <w:szCs w:val="24"/>
                <w:color w:val="auto"/>
              </w:rPr>
            </w:pPr>
          </w:p>
        </w:tc>
      </w:tr>
      <w:tr>
        <w:trPr>
          <w:trHeight w:val="186"/>
        </w:trPr>
        <w:tc>
          <w:tcPr>
            <w:tcW w:w="1500" w:type="dxa"/>
            <w:vAlign w:val="bottom"/>
          </w:tcPr>
          <w:p>
            <w:pPr>
              <w:spacing w:after="0"/>
              <w:rPr>
                <w:sz w:val="16"/>
                <w:szCs w:val="16"/>
                <w:color w:val="auto"/>
              </w:rPr>
            </w:pPr>
          </w:p>
        </w:tc>
        <w:tc>
          <w:tcPr>
            <w:tcW w:w="57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w w:val="98"/>
              </w:rPr>
              <w:t>Houston, Texas</w:t>
            </w:r>
          </w:p>
        </w:tc>
        <w:tc>
          <w:tcPr>
            <w:tcW w:w="15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77042</w:t>
            </w:r>
          </w:p>
        </w:tc>
      </w:tr>
      <w:tr>
        <w:trPr>
          <w:trHeight w:val="166"/>
        </w:trPr>
        <w:tc>
          <w:tcPr>
            <w:tcW w:w="1500" w:type="dxa"/>
            <w:vAlign w:val="bottom"/>
          </w:tcPr>
          <w:p>
            <w:pPr>
              <w:spacing w:after="0"/>
              <w:rPr>
                <w:sz w:val="14"/>
                <w:szCs w:val="14"/>
                <w:color w:val="auto"/>
              </w:rPr>
            </w:pPr>
          </w:p>
        </w:tc>
        <w:tc>
          <w:tcPr>
            <w:tcW w:w="5780" w:type="dxa"/>
            <w:vAlign w:val="bottom"/>
            <w:gridSpan w:val="3"/>
          </w:tcPr>
          <w:p>
            <w:pPr>
              <w:jc w:val="center"/>
              <w:ind w:right="362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520" w:type="dxa"/>
            <w:vAlign w:val="bottom"/>
          </w:tcPr>
          <w:p>
            <w:pPr>
              <w:jc w:val="center"/>
              <w:ind w:left="451"/>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r>
        <w:trPr>
          <w:trHeight w:val="365"/>
        </w:trPr>
        <w:tc>
          <w:tcPr>
            <w:tcW w:w="1500" w:type="dxa"/>
            <w:vAlign w:val="bottom"/>
          </w:tcPr>
          <w:p>
            <w:pPr>
              <w:spacing w:after="0"/>
              <w:rPr>
                <w:sz w:val="24"/>
                <w:szCs w:val="24"/>
                <w:color w:val="auto"/>
              </w:rPr>
            </w:pPr>
          </w:p>
        </w:tc>
        <w:tc>
          <w:tcPr>
            <w:tcW w:w="5780" w:type="dxa"/>
            <w:vAlign w:val="bottom"/>
            <w:gridSpan w:val="3"/>
          </w:tcPr>
          <w:p>
            <w:pPr>
              <w:jc w:val="center"/>
              <w:ind w:left="86"/>
              <w:spacing w:after="0"/>
              <w:rPr>
                <w:sz w:val="20"/>
                <w:szCs w:val="20"/>
                <w:color w:val="auto"/>
              </w:rPr>
            </w:pPr>
            <w:r>
              <w:rPr>
                <w:rFonts w:ascii="Times New Roman" w:cs="Times New Roman" w:eastAsia="Times New Roman" w:hAnsi="Times New Roman"/>
                <w:sz w:val="16"/>
                <w:szCs w:val="16"/>
                <w:b w:val="1"/>
                <w:bCs w:val="1"/>
                <w:color w:val="auto"/>
                <w:w w:val="98"/>
              </w:rPr>
              <w:t>Registrant’s Telephone Number, Including Area Code 346-223-3000</w:t>
            </w:r>
          </w:p>
        </w:tc>
        <w:tc>
          <w:tcPr>
            <w:tcW w:w="1520" w:type="dxa"/>
            <w:vAlign w:val="bottom"/>
          </w:tcPr>
          <w:p>
            <w:pPr>
              <w:spacing w:after="0"/>
              <w:rPr>
                <w:sz w:val="24"/>
                <w:szCs w:val="24"/>
                <w:color w:val="auto"/>
              </w:rPr>
            </w:pPr>
          </w:p>
        </w:tc>
      </w:tr>
      <w:tr>
        <w:trPr>
          <w:trHeight w:val="333"/>
        </w:trPr>
        <w:tc>
          <w:tcPr>
            <w:tcW w:w="1500" w:type="dxa"/>
            <w:vAlign w:val="bottom"/>
          </w:tcPr>
          <w:p>
            <w:pPr>
              <w:spacing w:after="0"/>
              <w:rPr>
                <w:sz w:val="24"/>
                <w:szCs w:val="24"/>
                <w:color w:val="auto"/>
              </w:rPr>
            </w:pPr>
          </w:p>
        </w:tc>
        <w:tc>
          <w:tcPr>
            <w:tcW w:w="5780" w:type="dxa"/>
            <w:vAlign w:val="bottom"/>
            <w:gridSpan w:val="3"/>
          </w:tcPr>
          <w:p>
            <w:pPr>
              <w:jc w:val="center"/>
              <w:ind w:left="66"/>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520" w:type="dxa"/>
            <w:vAlign w:val="bottom"/>
          </w:tcPr>
          <w:p>
            <w:pPr>
              <w:spacing w:after="0"/>
              <w:rPr>
                <w:sz w:val="24"/>
                <w:szCs w:val="24"/>
                <w:color w:val="auto"/>
              </w:rPr>
            </w:pPr>
          </w:p>
        </w:tc>
      </w:tr>
      <w:tr>
        <w:trPr>
          <w:trHeight w:val="68"/>
        </w:trPr>
        <w:tc>
          <w:tcPr>
            <w:tcW w:w="15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920" w:type="dxa"/>
            <w:vAlign w:val="bottom"/>
          </w:tcPr>
          <w:p>
            <w:pPr>
              <w:spacing w:after="0"/>
              <w:rPr>
                <w:sz w:val="5"/>
                <w:szCs w:val="5"/>
                <w:color w:val="auto"/>
              </w:rPr>
            </w:pPr>
          </w:p>
        </w:tc>
        <w:tc>
          <w:tcPr>
            <w:tcW w:w="1520" w:type="dxa"/>
            <w:vAlign w:val="bottom"/>
          </w:tcPr>
          <w:p>
            <w:pPr>
              <w:spacing w:after="0"/>
              <w:rPr>
                <w:sz w:val="5"/>
                <w:szCs w:val="5"/>
                <w:color w:val="auto"/>
              </w:rPr>
            </w:pPr>
          </w:p>
        </w:tc>
      </w:tr>
    </w:tbl>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94" w:lineRule="exact"/>
        <w:rPr>
          <w:sz w:val="24"/>
          <w:szCs w:val="24"/>
          <w:color w:val="auto"/>
        </w:rPr>
      </w:pPr>
    </w:p>
    <w:p>
      <w:pPr>
        <w:ind w:left="920" w:hanging="452"/>
        <w:spacing w:after="0"/>
        <w:tabs>
          <w:tab w:leader="none" w:pos="9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11" w:lineRule="exact"/>
        <w:rPr>
          <w:rFonts w:ascii="MS PGothic" w:cs="MS PGothic" w:eastAsia="MS PGothic" w:hAnsi="MS PGothic"/>
          <w:sz w:val="16"/>
          <w:szCs w:val="16"/>
          <w:color w:val="auto"/>
        </w:rPr>
      </w:pPr>
    </w:p>
    <w:p>
      <w:pPr>
        <w:ind w:left="920" w:hanging="452"/>
        <w:spacing w:after="0"/>
        <w:tabs>
          <w:tab w:leader="none" w:pos="9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920" w:hanging="452"/>
        <w:spacing w:after="0"/>
        <w:tabs>
          <w:tab w:leader="none" w:pos="9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14d-2(b) under the Exchange Act (17 CFR 240.14d-2(b))</w:t>
      </w:r>
    </w:p>
    <w:p>
      <w:pPr>
        <w:spacing w:after="0" w:line="111" w:lineRule="exact"/>
        <w:rPr>
          <w:rFonts w:ascii="MS PGothic" w:cs="MS PGothic" w:eastAsia="MS PGothic" w:hAnsi="MS PGothic"/>
          <w:sz w:val="16"/>
          <w:szCs w:val="16"/>
          <w:color w:val="auto"/>
        </w:rPr>
      </w:pPr>
    </w:p>
    <w:p>
      <w:pPr>
        <w:ind w:left="920" w:hanging="452"/>
        <w:spacing w:after="0"/>
        <w:tabs>
          <w:tab w:leader="none" w:pos="9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13e-4(c) under the Exchange Act (17 CFR 240.13e-4(c))</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00" w:type="dxa"/>
            <w:vAlign w:val="bottom"/>
          </w:tcPr>
          <w:p>
            <w:pPr>
              <w:spacing w:after="0"/>
              <w:rPr>
                <w:sz w:val="14"/>
                <w:szCs w:val="14"/>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08"/>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Stock, par value $0.01 per share</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NOV</w:t>
            </w:r>
          </w:p>
        </w:tc>
        <w:tc>
          <w:tcPr>
            <w:tcW w:w="10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New York Stock Exchange</w:t>
            </w:r>
          </w:p>
        </w:tc>
      </w:tr>
    </w:tbl>
    <w:p>
      <w:pPr>
        <w:spacing w:after="0" w:line="153"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393065</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On October 27, 2026, NOV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issued a press release announcing earnings for the quarter ended September 30, 2026 and conference call in connection therewith. A copy of the release is furnished herewith as Exhibit 99.1 and incorporated herein by reference. A presentation to accompany the conference call, which contains certain historical and forward-looking information relating to the Company (the “</w:t>
      </w:r>
      <w:r>
        <w:rPr>
          <w:rFonts w:ascii="Times New Roman" w:cs="Times New Roman" w:eastAsia="Times New Roman" w:hAnsi="Times New Roman"/>
          <w:sz w:val="16"/>
          <w:szCs w:val="16"/>
          <w:u w:val="single" w:color="auto"/>
          <w:color w:val="auto"/>
        </w:rPr>
        <w:t>Presentation Materials</w:t>
      </w:r>
      <w:r>
        <w:rPr>
          <w:rFonts w:ascii="Times New Roman" w:cs="Times New Roman" w:eastAsia="Times New Roman" w:hAnsi="Times New Roman"/>
          <w:sz w:val="16"/>
          <w:szCs w:val="16"/>
          <w:color w:val="auto"/>
        </w:rPr>
        <w:t>”), has been made available on its website at www.nov.com. A copy of the Presentation Materials is attached hereto as Exhibit 99.2 and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This report on Form 8-K contains forward-looking statements within the meaning of the Private Securities Litigation Reform Act of 1995. Such statements are subject to a number of risks, uncertainties and assumptions, including the factors described in the Company’s most recent periodic reports and other documents filed with the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which are available free of charge at the SEC’s website at www.sec.gov or the Company’s website at www.nov.com. The Company cautions you that forward-looking statements are not guarantees of future performance and that actual results or developments may differ materially from those projected or implied in these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0" w:lineRule="exact"/>
        <w:rPr>
          <w:sz w:val="20"/>
          <w:szCs w:val="20"/>
          <w:color w:val="auto"/>
        </w:rPr>
      </w:pPr>
    </w:p>
    <w:p>
      <w:pPr>
        <w:ind w:left="720" w:hanging="215"/>
        <w:spacing w:after="0"/>
        <w:tabs>
          <w:tab w:leader="none" w:pos="7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provided as part of the information furnished under Item 2.02 of this Current Report on Form 8-K:</w:t>
      </w:r>
    </w:p>
    <w:p>
      <w:pPr>
        <w:spacing w:after="0" w:line="3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NOV Inc. press release dated October 27, 2026 announcing the earnings results for the quarter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-8255</wp:posOffset>
            </wp:positionV>
            <wp:extent cx="48971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97120" cy="7620"/>
                    </a:xfrm>
                    <a:prstGeom prst="rect">
                      <a:avLst/>
                    </a:prstGeom>
                    <a:noFill/>
                  </pic:spPr>
                </pic:pic>
              </a:graphicData>
            </a:graphic>
          </wp:anchor>
        </w:drawing>
      </w:r>
    </w:p>
    <w:p>
      <w:pPr>
        <w:spacing w:after="0" w:line="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FF"/>
        </w:rPr>
        <w:t>Presentation Materials dated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-8255</wp:posOffset>
            </wp:positionV>
            <wp:extent cx="18872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7220" cy="7620"/>
                    </a:xfrm>
                    <a:prstGeom prst="rect">
                      <a:avLst/>
                    </a:prstGeom>
                    <a:noFill/>
                  </pic:spPr>
                </pic:pic>
              </a:graphicData>
            </a:graphic>
          </wp:anchor>
        </w:drawing>
      </w:r>
    </w:p>
    <w:p>
      <w:pPr>
        <w:spacing w:after="0" w:line="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541655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4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spacing w:after="0"/>
        <w:tabs>
          <w:tab w:leader="none" w:pos="5980" w:val="left"/>
        </w:tabs>
        <w:rPr>
          <w:sz w:val="20"/>
          <w:szCs w:val="20"/>
          <w:color w:val="auto"/>
        </w:rPr>
      </w:pPr>
      <w:r>
        <w:rPr>
          <w:rFonts w:ascii="Times New Roman" w:cs="Times New Roman" w:eastAsia="Times New Roman" w:hAnsi="Times New Roman"/>
          <w:sz w:val="16"/>
          <w:szCs w:val="16"/>
          <w:color w:val="auto"/>
        </w:rPr>
        <w:t>Date: October 28, 2026</w:t>
      </w:r>
      <w:r>
        <w:rPr>
          <w:sz w:val="20"/>
          <w:szCs w:val="20"/>
          <w:color w:val="auto"/>
        </w:rPr>
        <w:tab/>
      </w:r>
      <w:r>
        <w:rPr>
          <w:rFonts w:ascii="Times New Roman" w:cs="Times New Roman" w:eastAsia="Times New Roman" w:hAnsi="Times New Roman"/>
          <w:sz w:val="15"/>
          <w:szCs w:val="15"/>
          <w:color w:val="auto"/>
        </w:rPr>
        <w:t>NOV INC.</w:t>
      </w:r>
    </w:p>
    <w:p>
      <w:pPr>
        <w:spacing w:after="0" w:line="25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color w:val="auto"/>
        </w:rPr>
        <w:t>/s/ Peter F. Vranderic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13970</wp:posOffset>
            </wp:positionV>
            <wp:extent cx="33343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7620"/>
                    </a:xfrm>
                    <a:prstGeom prst="rect">
                      <a:avLst/>
                    </a:prstGeom>
                    <a:noFill/>
                  </pic:spPr>
                </pic:pic>
              </a:graphicData>
            </a:graphic>
          </wp:anchor>
        </w:drawing>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color w:val="auto"/>
        </w:rPr>
        <w:t>Peter F. Vranderic</w:t>
      </w:r>
    </w:p>
    <w:p>
      <w:pPr>
        <w:spacing w:after="0" w:line="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541655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878"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118870"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887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
        <w:spacing w:after="0"/>
        <w:tabs>
          <w:tab w:leader="none" w:pos="7285" w:val="left"/>
          <w:tab w:leader="none" w:pos="9945" w:val="left"/>
        </w:tabs>
        <w:rPr>
          <w:sz w:val="20"/>
          <w:szCs w:val="20"/>
          <w:color w:val="auto"/>
        </w:rPr>
      </w:pPr>
      <w:r>
        <w:rPr>
          <w:rFonts w:ascii="Arial" w:cs="Arial" w:eastAsia="Arial" w:hAnsi="Arial"/>
          <w:sz w:val="19"/>
          <w:szCs w:val="19"/>
          <w:b w:val="1"/>
          <w:bCs w:val="1"/>
          <w:color w:val="auto"/>
        </w:rPr>
        <w:t>NEWS</w:t>
      </w:r>
      <w:r>
        <w:rPr>
          <w:sz w:val="20"/>
          <w:szCs w:val="20"/>
          <w:color w:val="auto"/>
        </w:rPr>
        <w:tab/>
      </w:r>
      <w:r>
        <w:rPr>
          <w:rFonts w:ascii="Arial" w:cs="Arial" w:eastAsia="Arial" w:hAnsi="Arial"/>
          <w:sz w:val="19"/>
          <w:szCs w:val="19"/>
          <w:b w:val="1"/>
          <w:bCs w:val="1"/>
          <w:color w:val="auto"/>
        </w:rPr>
        <w:t>Contact: Amie D'Ambrosio</w:t>
        <w:tab/>
        <w:t>(713) 375-3826</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b w:val="1"/>
          <w:bCs w:val="1"/>
          <w:u w:val="single" w:color="auto"/>
          <w:color w:val="auto"/>
        </w:rPr>
        <w:t>FOR IMMEDIATE RELEASE</w:t>
      </w:r>
    </w:p>
    <w:p>
      <w:pPr>
        <w:spacing w:after="0" w:line="207"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NOV REPORTS THIRD QUARTER 2026 EARNINGS</w:t>
      </w:r>
    </w:p>
    <w:p>
      <w:pPr>
        <w:spacing w:after="0" w:line="209" w:lineRule="exact"/>
        <w:rPr>
          <w:sz w:val="20"/>
          <w:szCs w:val="20"/>
          <w:color w:val="auto"/>
        </w:rPr>
      </w:pPr>
    </w:p>
    <w:p>
      <w:pPr>
        <w:ind w:left="1025" w:hanging="516"/>
        <w:spacing w:after="0"/>
        <w:tabs>
          <w:tab w:leader="none" w:pos="1025"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Revenues of $2.23 billion, up 4% sequentially and up 2% year-over-year</w:t>
      </w:r>
    </w:p>
    <w:p>
      <w:pPr>
        <w:spacing w:after="0" w:line="9" w:lineRule="exact"/>
        <w:rPr>
          <w:rFonts w:ascii="Times New Roman" w:cs="Times New Roman" w:eastAsia="Times New Roman" w:hAnsi="Times New Roman"/>
          <w:sz w:val="19"/>
          <w:szCs w:val="19"/>
          <w:color w:val="auto"/>
        </w:rPr>
      </w:pPr>
    </w:p>
    <w:p>
      <w:pPr>
        <w:ind w:left="1025" w:hanging="516"/>
        <w:spacing w:after="0"/>
        <w:tabs>
          <w:tab w:leader="none" w:pos="1025"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Net income of $90 million, or $0.25 per share, a decrease of $22 million sequentially and up $48 million year-over-year</w:t>
      </w:r>
    </w:p>
    <w:p>
      <w:pPr>
        <w:spacing w:after="0" w:line="11" w:lineRule="exact"/>
        <w:rPr>
          <w:rFonts w:ascii="Times New Roman" w:cs="Times New Roman" w:eastAsia="Times New Roman" w:hAnsi="Times New Roman"/>
          <w:sz w:val="19"/>
          <w:szCs w:val="19"/>
          <w:color w:val="auto"/>
        </w:rPr>
      </w:pPr>
    </w:p>
    <w:p>
      <w:pPr>
        <w:ind w:left="1025" w:hanging="516"/>
        <w:spacing w:after="0" w:line="238" w:lineRule="auto"/>
        <w:tabs>
          <w:tab w:leader="none" w:pos="1025"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Adjusted EBITDA</w:t>
      </w:r>
      <w:r>
        <w:rPr>
          <w:rFonts w:ascii="Arial" w:cs="Arial" w:eastAsia="Arial" w:hAnsi="Arial"/>
          <w:sz w:val="12"/>
          <w:szCs w:val="12"/>
          <w:i w:val="1"/>
          <w:iCs w:val="1"/>
          <w:color w:val="auto"/>
        </w:rPr>
        <w:t>1,2</w:t>
      </w:r>
      <w:r>
        <w:rPr>
          <w:rFonts w:ascii="Arial" w:cs="Arial" w:eastAsia="Arial" w:hAnsi="Arial"/>
          <w:sz w:val="19"/>
          <w:szCs w:val="19"/>
          <w:i w:val="1"/>
          <w:iCs w:val="1"/>
          <w:color w:val="auto"/>
        </w:rPr>
        <w:t xml:space="preserve"> of $281 million, down $2 million sequentially and up $23 million year-over-year</w:t>
      </w:r>
    </w:p>
    <w:p>
      <w:pPr>
        <w:ind w:left="1025" w:hanging="516"/>
        <w:spacing w:after="0"/>
        <w:tabs>
          <w:tab w:leader="none" w:pos="1025"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Bookings of $577 million, representing a book-to-bill of 91%</w:t>
      </w:r>
    </w:p>
    <w:p>
      <w:pPr>
        <w:spacing w:after="0" w:line="245" w:lineRule="exact"/>
        <w:rPr>
          <w:sz w:val="20"/>
          <w:szCs w:val="20"/>
          <w:color w:val="auto"/>
        </w:rPr>
      </w:pPr>
    </w:p>
    <w:p>
      <w:pPr>
        <w:ind w:left="5" w:right="40" w:hanging="5"/>
        <w:spacing w:after="0" w:line="195" w:lineRule="auto"/>
        <w:tabs>
          <w:tab w:leader="none" w:pos="105" w:val="left"/>
        </w:tabs>
        <w:numPr>
          <w:ilvl w:val="0"/>
          <w:numId w:val="4"/>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Free Cash Flow, Excess Free Cash Flow, Adjusted operating profit, and Adjusted EBITDA are non-GAAP measures, see “Non-GAAP Financial Measures,” and “Reconciliation of GAAP to non-GAAP measures” below.</w:t>
      </w:r>
    </w:p>
    <w:p>
      <w:pPr>
        <w:ind w:left="105" w:hanging="105"/>
        <w:spacing w:after="0" w:line="188" w:lineRule="auto"/>
        <w:tabs>
          <w:tab w:leader="none" w:pos="105" w:val="left"/>
        </w:tabs>
        <w:numPr>
          <w:ilvl w:val="0"/>
          <w:numId w:val="5"/>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Adjusted EBITDA for the second and third quarter of 2026 includes a benefit of approximately $40 million and $5 million, respectively, related to tariff refunds</w:t>
      </w:r>
    </w:p>
    <w:p>
      <w:pPr>
        <w:spacing w:after="0" w:line="198" w:lineRule="exact"/>
        <w:rPr>
          <w:sz w:val="20"/>
          <w:szCs w:val="20"/>
          <w:color w:val="auto"/>
        </w:rPr>
      </w:pPr>
    </w:p>
    <w:p>
      <w:pPr>
        <w:jc w:val="both"/>
        <w:ind w:left="5"/>
        <w:spacing w:after="0"/>
        <w:rPr>
          <w:sz w:val="20"/>
          <w:szCs w:val="20"/>
          <w:color w:val="auto"/>
        </w:rPr>
      </w:pPr>
      <w:r>
        <w:rPr>
          <w:rFonts w:ascii="Arial" w:cs="Arial" w:eastAsia="Arial" w:hAnsi="Arial"/>
          <w:sz w:val="19"/>
          <w:szCs w:val="19"/>
          <w:b w:val="1"/>
          <w:bCs w:val="1"/>
          <w:color w:val="auto"/>
        </w:rPr>
        <w:t xml:space="preserve">HOUSTON, TX, October 27, 2026 </w:t>
      </w:r>
      <w:r>
        <w:rPr>
          <w:rFonts w:ascii="Arial" w:cs="Arial" w:eastAsia="Arial" w:hAnsi="Arial"/>
          <w:sz w:val="19"/>
          <w:szCs w:val="19"/>
          <w:color w:val="auto"/>
        </w:rPr>
        <w:t>NOV Inc. (NYSE: NOV) today reported third quarter 2026 revenues of $2.23 billion, an increase</w:t>
      </w:r>
      <w:r>
        <w:rPr>
          <w:rFonts w:ascii="Arial" w:cs="Arial" w:eastAsia="Arial" w:hAnsi="Arial"/>
          <w:sz w:val="19"/>
          <w:szCs w:val="19"/>
          <w:b w:val="1"/>
          <w:bCs w:val="1"/>
          <w:color w:val="auto"/>
        </w:rPr>
        <w:t xml:space="preserve"> </w:t>
      </w:r>
      <w:r>
        <w:rPr>
          <w:rFonts w:ascii="Arial" w:cs="Arial" w:eastAsia="Arial" w:hAnsi="Arial"/>
          <w:sz w:val="19"/>
          <w:szCs w:val="19"/>
          <w:color w:val="auto"/>
        </w:rPr>
        <w:t>of four percent sequentially and an increase of two percent compared to the third quarter of 2025. Net income increased $48 million, or $0.14 per diluted share, year-over-year to $90 million. Operating profit was $142 million, or 6.4 percent of sales, an increase of 33 percent versus the third quarter of 2025. Adjusted operating profit was $188 million, an increase of 11 percent versus the third quarter of 2025. Adjusted EBITDA increased $23 million year-over-year to $281 million, or 12.6 percent of sales. Third quarter 2026 Adjusted operating profit and Adjusted EBITDA include a benefit of approximately $5 million related to tariff refunds.</w:t>
      </w:r>
    </w:p>
    <w:p>
      <w:pPr>
        <w:spacing w:after="0" w:line="180" w:lineRule="exact"/>
        <w:rPr>
          <w:sz w:val="20"/>
          <w:szCs w:val="20"/>
          <w:color w:val="auto"/>
        </w:rPr>
      </w:pPr>
    </w:p>
    <w:p>
      <w:pPr>
        <w:jc w:val="both"/>
        <w:ind w:left="5"/>
        <w:spacing w:after="0" w:line="242" w:lineRule="auto"/>
        <w:rPr>
          <w:sz w:val="20"/>
          <w:szCs w:val="20"/>
          <w:color w:val="auto"/>
        </w:rPr>
      </w:pPr>
      <w:r>
        <w:rPr>
          <w:rFonts w:ascii="Arial" w:cs="Arial" w:eastAsia="Arial" w:hAnsi="Arial"/>
          <w:sz w:val="19"/>
          <w:szCs w:val="19"/>
          <w:color w:val="auto"/>
        </w:rPr>
        <w:t>“NOV delivered another strong quarter, building on the operational momentum established earlier this year,” said Jose Bayardo, Chairman, President, and CEO. “The solid sequential and year-over-year revenue growth reflects our continued focus on supporting customers in the Middle East and ramping manufacturing throughput against our growing backlog of capital equipment orders in our Energy Products and Services segment. Strong Adjusted EBITDA flowthrough, excluding tariff refund benefits, reflects disciplined execution, continued efficiency gains, and our efforts to better leverage NOV’s global platform.</w:t>
      </w:r>
    </w:p>
    <w:p>
      <w:pPr>
        <w:spacing w:after="0" w:line="176" w:lineRule="exact"/>
        <w:rPr>
          <w:sz w:val="20"/>
          <w:szCs w:val="20"/>
          <w:color w:val="auto"/>
        </w:rPr>
      </w:pPr>
    </w:p>
    <w:p>
      <w:pPr>
        <w:jc w:val="both"/>
        <w:ind w:left="5"/>
        <w:spacing w:after="0" w:line="237" w:lineRule="auto"/>
        <w:rPr>
          <w:sz w:val="20"/>
          <w:szCs w:val="20"/>
          <w:color w:val="auto"/>
        </w:rPr>
      </w:pPr>
      <w:r>
        <w:rPr>
          <w:rFonts w:ascii="Arial" w:cs="Arial" w:eastAsia="Arial" w:hAnsi="Arial"/>
          <w:sz w:val="19"/>
          <w:szCs w:val="19"/>
          <w:color w:val="auto"/>
        </w:rPr>
        <w:t>“We expect geopolitical events will continue to create near-term disruptions and expect a moderation in Middle East activity during the fourth quarter as certain customers adjust their drilling programs. At the same time, the broader geopolitical backdrop continues to reinforce the need to strengthen energy security, diversify sources of supply, and replenish global inventories. Combined with the limited availability of modern, higher-specification equipment following a decade of restrained industry reinvestment, these needs create a constructive backdrop for demand for equipment and technologies that improve efficiency, reliability, and overall project economics.</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407670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96" w:right="319" w:bottom="1440" w:gutter="0" w:footer="0" w:header="0"/>
        </w:sectPr>
      </w:pPr>
    </w:p>
    <w:bookmarkStart w:id="4" w:name="page5"/>
    <w:bookmarkEnd w:id="4"/>
    <w:p>
      <w:pPr>
        <w:jc w:val="both"/>
        <w:ind w:right="20"/>
        <w:spacing w:after="0" w:line="250" w:lineRule="auto"/>
        <w:rPr>
          <w:sz w:val="20"/>
          <w:szCs w:val="20"/>
          <w:color w:val="auto"/>
        </w:rPr>
      </w:pPr>
      <w:r>
        <w:rPr>
          <w:rFonts w:ascii="Arial" w:cs="Arial" w:eastAsia="Arial" w:hAnsi="Arial"/>
          <w:sz w:val="19"/>
          <w:szCs w:val="19"/>
          <w:color w:val="auto"/>
        </w:rPr>
        <w:t>“We have positioned NOV for the market environment now emerging. Our technology leadership, strong market positions, global footprint, and continued operational improvements give us confidence in our ability to capitalize on the expanding opportunity set and demonstrate materially greater earnings power over the coming years.”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Energy Equipment</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Energy Equipment generated revenues of $1.22 billion in the third quarter of 2026, a decrease of two percent from the third quarter of 2025. Operating profit decreased $8 million from the prior year to $122 million, or 10.0 percent of sales, and included $14 million in pre-tax Other Items and a $22 million net loss on write-down of fixed assets. Adjusted EBITDA increased $7 million from the prior year to $187 million, or 15.3 percent of sales. The decrease in revenue was due to the completion of certain offshore production related projects that were not fully offset by increased demand for the segment’s other products and services. Adjusted EBITDA margins expanded, driven by a favorable project mix and improved margins in backlog.</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New orders booked during the quarter totaled $577 million representing a book-to-bill of 91 percent when compared to $632 million of orders shipped from backlog. As of September 30, 2026, backlog for capital equipment orders for Energy Equipment totaled $3.98 billion.</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Energy Products and Services</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Energy Products and Services generated revenues of $1.06 billion in the third quarter of 2026, an increase of nine percent from the third quarter of 2025. Operating profit increased $50 million from the prior year to $88 million, or 8.3 percent of sales, and included $7 million in pre-tax Other Items and a $4 million gain on sales of fixed assets. Adjusted EBITDA increased $18 million from the prior year to $153 million, or 14.5 percent of sales. Revenue growth was led by increasing manufacturing throughput against the segment’s growing backlog of drill pipe and composite equipment. Continued improvement in cost structure and operational efficiencies resulted in higher margins.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Fourth Quarter 2026 Outlook</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 xml:space="preserve">The Company is providing financial guidance for the fourth quarter of 2026, which constitutes </w:t>
      </w:r>
      <w:r>
        <w:rPr>
          <w:rFonts w:ascii="Arial" w:cs="Arial" w:eastAsia="Arial" w:hAnsi="Arial"/>
          <w:sz w:val="19"/>
          <w:szCs w:val="19"/>
          <w:color w:val="292B2C"/>
        </w:rPr>
        <w:t>“</w:t>
      </w:r>
      <w:r>
        <w:rPr>
          <w:rFonts w:ascii="Arial" w:cs="Arial" w:eastAsia="Arial" w:hAnsi="Arial"/>
          <w:sz w:val="19"/>
          <w:szCs w:val="19"/>
          <w:color w:val="auto"/>
        </w:rPr>
        <w:t>forward-looking statements” as described further below under “Cautionary Note Regarding Forward-Looking Statements.” This guidance is subject to, and may be affected by, the current uncertainty and conflict in the Middle East, and assumes that the operating environment in the region remains consistent with the conditions experienced during the third quarter, other than the expected moderation in activity described above. A worsening of such conditions may cause actual results to differ materially from this guidance.</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For the fourth quarter of 2026, management expects consolidated revenues to be roughly flat year-over-year, with Adjusted EBITDA expected to be between $260 million and $300 million.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96" w:right="31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Corporate Information</w:t>
      </w:r>
    </w:p>
    <w:p>
      <w:pPr>
        <w:spacing w:after="0" w:line="12" w:lineRule="exact"/>
        <w:rPr>
          <w:sz w:val="20"/>
          <w:szCs w:val="20"/>
          <w:color w:val="auto"/>
        </w:rPr>
      </w:pPr>
    </w:p>
    <w:p>
      <w:pPr>
        <w:jc w:val="both"/>
        <w:ind w:right="20"/>
        <w:spacing w:after="0" w:line="247" w:lineRule="auto"/>
        <w:rPr>
          <w:sz w:val="20"/>
          <w:szCs w:val="20"/>
          <w:color w:val="auto"/>
        </w:rPr>
      </w:pPr>
      <w:r>
        <w:rPr>
          <w:rFonts w:ascii="Arial" w:cs="Arial" w:eastAsia="Arial" w:hAnsi="Arial"/>
          <w:sz w:val="19"/>
          <w:szCs w:val="19"/>
          <w:color w:val="auto"/>
        </w:rPr>
        <w:t>NOV repurchased approximately 0.8 million shares of common stock for $15 million and paid $32 million in dividends during the third quarter, resulting in a total of $47 million in capital returned to shareholders.</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During the third quarter of 2026, NOV recorded $28 million in pre-tax Other Items, primarily related to severance and inventory write-downs, and costs associated with streamlining our business operations. NOV also recorded $18 million in net write-downs of fixed assets, primarily related to facility closures (see Reconciliation of GAAP to non-GAAP measures).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As of September 30, 2026, the Company had total debt of $1.71 billion, with $1.50 billion available on its revolving credit facility, and $1.06 billion in cash and cash equivalents.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Significant Achievements</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NOV secured an award for data aggregation and remote monitoring services across a supermajor’s global offshore fleet of drillships, jackups, and drilling platforms. Powered by the Max™ Platform, the services range from secure real-time data aggregation and delivery to integrated visualization, enabling operational visibility from the wellsite to the customer’s remote operating center. By simplifying access to trusted operational data through a unified platform, NOV helps reduce workflow complexity and improve decision-making while establishing a scalable digital foundation for the deployment of future automation.</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NOV received multiple orders for mooring systems supporting floating oil and gas production in the U.S., Eastern Mediterranean, and Angola. The orders include an APL™ Submerged Swivel and Yoke (SSY) system for a U.S. FLNG export project, providing shallow-water mooring and continuous subsea gas transfer, as well as spread mooring systems for an offshore gas floating control unit and an FPSO. NOV’s broad portfolio of mooring and fluid-transfer technologies is well positioned to support continued investment in floating offshore production infrastructure globally.</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NOV was awarded an upgrade package to provide increased lifting capacity and advanced automation capabilities for a drillship. The project includes a 1,435-ton hookload package, TDX-1500 top drive, NOVOS™ process automation platform upgrades, and Multi-Machine Control functionality. The integrated upgrade will expand the drillship’s capabilities for high-performance, ultra-deepwater operations.</w:t>
      </w:r>
    </w:p>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NOV received an initial order for 160 km of Fiberspar™ composite spoolable linepipe after finalizing a frame agreement in Oman for up to 300 km of pipe. The technology supports the customer’s expanding hydrocarbon pipeline infrastructure requirements while minimizing installation time and complexity. The framework strengthens NOV’s participation in pipeline infrastructure development across the region.</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NOV received an order for six well service rig electrification conversions that will enable hybrid electric operations at the jobsite. The project will modify well servicing equipment and upgrade conventional controls to advanced programmable logic controller-based systems. By electrifying installed equipment rather than replacing it, NOV enables customers to transition existing fleets cost-effectively toward more efficient, digitally controlled, and automated well servicing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96" w:right="319" w:bottom="1440" w:gutter="0" w:footer="0" w:header="0"/>
        </w:sectPr>
      </w:pPr>
    </w:p>
    <w:bookmarkStart w:id="6" w:name="page7"/>
    <w:bookmarkEnd w:id="6"/>
    <w:p>
      <w:pPr>
        <w:jc w:val="both"/>
        <w:spacing w:after="0" w:line="245" w:lineRule="auto"/>
        <w:rPr>
          <w:sz w:val="20"/>
          <w:szCs w:val="20"/>
          <w:color w:val="auto"/>
        </w:rPr>
      </w:pPr>
      <w:r>
        <w:rPr>
          <w:rFonts w:ascii="Arial" w:cs="Arial" w:eastAsia="Arial" w:hAnsi="Arial"/>
          <w:sz w:val="19"/>
          <w:szCs w:val="19"/>
          <w:color w:val="auto"/>
        </w:rPr>
        <w:t>NOV was selected to deliver vessel designs and jacking-system equipment packages for two next-generation offshore wind foundation installation jackups. The vessels will leverage the GustoMSC™ NG-20000X design and patent-pending asymmetrical rack and pinion technology. The technology enables installation of larger and more complex offshore wind foundations without increasing platform footprint, structural weight, or system complexity.</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North American customers continue to invest in rig performance to meet the demands of unconventional resources. During the quarter, NOV was selected to convert a DC rig to AC electric technology and add a high-speed, high-hookload drawworks and NOVOS™ process automation platform. Additionally, a customer selected NOV’s latest-generation TDS-1400 top drive while another opted to upgrade an existing top drive to increase torque and horsepower as well as achieve 10,000-psi-pressure requirements to more efficiently drill ultra long lateral wells in high pressure formations.</w:t>
      </w:r>
    </w:p>
    <w:p>
      <w:pPr>
        <w:spacing w:after="0" w:line="176"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NOV’s pumping technologies continued to gain traction in production optimization applications in the Eastern Hemisphere. In Nigeria, NOV received an order for a water injection reciprocating pump package to support a mature-field optimization program. NOV successfully introduced its first horizontal pumps into the Middle East with sales to two customers to provide efficient water handling in demanding production environments.</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9"/>
          <w:szCs w:val="19"/>
          <w:color w:val="auto"/>
        </w:rPr>
        <w:t>NOV’s DAYTONA™ drilling motors portfolio delivered strong performance across unconventional drilling applications in the U.S. and Australia. In the Haynesville, NOV’s new and most powerful drilling motor, the 9-7/8-in. DAYTONA 09 motor, drilled a 6,322-ft interval at an average rate of penetration of 131 ft/hr. In the Beetaloo Basin, the DAYTONA 11RS motor and PosiTrack™ vibration mitigation technology enabled a rotary steerable equipped BHA to drill a 4,333-ft section in a single run, compared with prior wells that required three runs to complete the section. Together, the deployments demonstrate the ability of NOV’s drilling technologies to increase drilling efficiency in unconventional applications.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NOV received an order for 6-5/8-in. drill pipe for a geothermal project in Utah. The drill string incorporates NOV’s premium NOV Delta™ high torque connections and TK-Drakōn™ high temperature coating engineered for insulation and performance. The award expands NOV’s participation in geothermal development and demonstrates the applicability of these premium technologies beyond traditional oil and gas applications.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NOV expanded the application of its temperature and pressure management technologies in challenging drilling environments. In northern Louisiana, NOV’s TUNDRA™ MAX mud cooling technology and high-torque Delta™ connection drill pipe with TK™-Drakōn thermal insulating tubular coating provided cooling capacity to manage extreme downhole temperatures and protect bottom hole assembly technology, enabling the operator to successfully drill a complex, extended-reach U-turn well. In South Texas, NOV was awarded a combined TUNDRA MAX and managed pressure drilling (MPD) services contract, integrating the two technologies to help manage thermal expansion and deliver more precise pressure control.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96" w:right="31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Third Quarter Earnings Conference Call</w:t>
      </w:r>
    </w:p>
    <w:p>
      <w:pPr>
        <w:spacing w:after="0" w:line="12"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NOV will hold a conference call to discuss its third quarter 2026 results on October 28, 2026 at 10:00 AM Central Time (11:00 AM Eastern Time). The call will be broadcast simultaneously at www.nov.com/investors. A replay will be available on the website for 30 days.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NOV</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NOV (NYSE: NOV) delivers technology-driven solutions to empower the global energy industry. For more than 160 years, NOV has</w:t>
      </w:r>
    </w:p>
    <w:p>
      <w:pPr>
        <w:spacing w:after="0" w:line="233" w:lineRule="auto"/>
        <w:rPr>
          <w:sz w:val="20"/>
          <w:szCs w:val="20"/>
          <w:color w:val="auto"/>
        </w:rPr>
      </w:pPr>
      <w:r>
        <w:rPr>
          <w:rFonts w:ascii="Arial" w:cs="Arial" w:eastAsia="Arial" w:hAnsi="Arial"/>
          <w:sz w:val="19"/>
          <w:szCs w:val="19"/>
          <w:color w:val="auto"/>
        </w:rPr>
        <w:t>pioneered innovations that enable its customers to safely and efficiently produce abundant energy while minimizing environmental</w:t>
      </w:r>
    </w:p>
    <w:p>
      <w:pPr>
        <w:spacing w:after="0" w:line="234" w:lineRule="auto"/>
        <w:rPr>
          <w:sz w:val="20"/>
          <w:szCs w:val="20"/>
          <w:color w:val="auto"/>
        </w:rPr>
      </w:pPr>
      <w:r>
        <w:rPr>
          <w:rFonts w:ascii="Arial" w:cs="Arial" w:eastAsia="Arial" w:hAnsi="Arial"/>
          <w:sz w:val="19"/>
          <w:szCs w:val="19"/>
          <w:color w:val="auto"/>
        </w:rPr>
        <w:t>impact. NOV powers the industry that powers the world.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Visit www.nov.com for more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1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This press release contains certain non-GAAP financial measures that management believes are useful tools for internal use and the investment community in evaluating NOV’s overall financial performance. These non-GAAP financial measures are broadly used to value and compare companies in the oilfield services and equipment industry. Not all companies define these measures in the same way. In addition, these non-GAAP financial measures are not a substitute for financial measures prepared in accordance with GAAP and should therefore be considered only as supplemental to such GAAP financial measures. Additionally, Free Cash Flow and Excess Free Cash Flow do not represent the Company’s residual cash flow available for discretionary expenditures, as the calculation of these measures does not account for certain debt service requirements or other non-discretionary expenditures. Please see the attached schedules for reconciliations of the differences between the non-GAAP financial measures used in this press release and the most directly comparable GAAP financial measures.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This press release contains certain forward-looking non-GAAP financial measures, including Adjusted EBITDA. The Company has not provided a reconciliation of projected net income to projected Adjusted EBITDA because management cannot predict with a reasonable degree of accuracy certain of the necessary components of net income, such as other income (expense), which includes fluctuations in foreign currencies. As such, a reconciliation of projected net income to projected Adjusted EBITDA is not available without unreasonable effort. The actual amount of other income (expense), provision (benefit) for income taxes, equity income (loss) in unconsolidated affiliates, depreciation and amortization, and other amounts excluded from Adjusted EBITDA could have a significant impact on net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96" w:right="319" w:bottom="1440" w:gutter="0" w:footer="0" w:header="0"/>
        </w:sectPr>
      </w:pPr>
    </w:p>
    <w:bookmarkStart w:id="8" w:name="page9"/>
    <w:bookmarkEnd w:id="8"/>
    <w:p>
      <w:pPr>
        <w:ind w:left="5"/>
        <w:spacing w:after="0"/>
        <w:rPr>
          <w:sz w:val="20"/>
          <w:szCs w:val="20"/>
          <w:color w:val="auto"/>
        </w:rPr>
      </w:pPr>
      <w:r>
        <w:rPr>
          <w:rFonts w:ascii="Arial" w:cs="Arial" w:eastAsia="Arial" w:hAnsi="Arial"/>
          <w:sz w:val="19"/>
          <w:szCs w:val="19"/>
          <w:b w:val="1"/>
          <w:bCs w:val="1"/>
          <w:color w:val="auto"/>
        </w:rPr>
        <w:t>Cautionary Note Regarding Forward-Looking Statements</w:t>
      </w:r>
    </w:p>
    <w:p>
      <w:pPr>
        <w:spacing w:after="0" w:line="12" w:lineRule="exact"/>
        <w:rPr>
          <w:sz w:val="20"/>
          <w:szCs w:val="20"/>
          <w:color w:val="auto"/>
        </w:rPr>
      </w:pPr>
    </w:p>
    <w:p>
      <w:pPr>
        <w:jc w:val="both"/>
        <w:ind w:left="5"/>
        <w:spacing w:after="0" w:line="234" w:lineRule="auto"/>
        <w:rPr>
          <w:sz w:val="20"/>
          <w:szCs w:val="20"/>
          <w:color w:val="auto"/>
        </w:rPr>
      </w:pPr>
      <w:r>
        <w:rPr>
          <w:rFonts w:ascii="Arial" w:cs="Arial" w:eastAsia="Arial" w:hAnsi="Arial"/>
          <w:sz w:val="19"/>
          <w:szCs w:val="19"/>
          <w:color w:val="auto"/>
        </w:rPr>
        <w:t>This document contains, or has incorporated by reference, statements that are not historical facts, including estimates, projections, and statements relating to our business plans, objectives, and expected operating results that are “forward-looking statements” within the meaning of the Private Securities Litigation Reform Act of 1995. Such statements often contain words such as “may,” “can,” “likely,” “believe,” “plan,” “predict,” “potential,” “will,” “intend,” “think,” “should,” “expect,” “anticipate,” “estimate,” “forecast,” “expectation,” “goal,” “outlook,” “projected,” “projections,” “target,” and other similar words, although some such statements are expressed differently. Other oral or written statements we release to the public may also contain forward-looking statements. Forward-looking statements involve risks and uncertainties and reflect our best judgment based on current information. You should be aware that our actual results could differ materially from results anticipated in such forward-looking statements due to a number of factors, including but not limited to changes in oil and gas prices, customer demand for our products, challenges related to NOV’s operations in the Middle East, potential catastrophic events related to our operations, protection of intellectual property rights, compliance with laws, and worldwide economic activity, including matters related to sanctions and changes in U.S. trade policies, including the imposition of tariffs and retaliatory tariffs, the outcome of a challenge to or reversal of tariff refunds, and their related impacts on the economy. Given these uncertainties, current or prospective investors are cautioned not to place undue reliance on any such forward-looking statements. Except as required by law, we undertake no obligation to update any such factors or forward-looking statements to reflect future events or developments. You should also consider carefully the statements under “Risk Factors,” as disclosed in our most recent Annual Report on Form 10-K, as updated in Part II, Item 1A of our most recent Quarterly Report on Form 10-Q, and “Management’s Discussion and Analysis of Financial Condition and Results of Operations” of our most recent Annual Report on Form 10-K, which address additional factors that could cause our actual results to differ from those set forth in such forward-looking statements, as well as additional disclosures we make in our press releases and other securities filings. We also suggest that you listen to our quarterly earnings release conference calls with financial analysts.</w:t>
      </w:r>
    </w:p>
    <w:p>
      <w:pPr>
        <w:spacing w:after="0" w:line="192" w:lineRule="exact"/>
        <w:rPr>
          <w:sz w:val="20"/>
          <w:szCs w:val="20"/>
          <w:color w:val="auto"/>
        </w:rPr>
      </w:pPr>
    </w:p>
    <w:p>
      <w:pPr>
        <w:ind w:left="5"/>
        <w:spacing w:after="0"/>
        <w:rPr>
          <w:sz w:val="20"/>
          <w:szCs w:val="20"/>
          <w:color w:val="auto"/>
        </w:rPr>
      </w:pPr>
      <w:r>
        <w:rPr>
          <w:rFonts w:ascii="Arial" w:cs="Arial" w:eastAsia="Arial" w:hAnsi="Arial"/>
          <w:sz w:val="19"/>
          <w:szCs w:val="19"/>
          <w:color w:val="auto"/>
        </w:rPr>
        <w:t>Certain prior period amounts have been reclassified in this press release to be consistent with current period presentation.</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CONTACT:</w:t>
      </w:r>
    </w:p>
    <w:p>
      <w:pPr>
        <w:spacing w:after="0" w:line="7" w:lineRule="exact"/>
        <w:rPr>
          <w:sz w:val="20"/>
          <w:szCs w:val="20"/>
          <w:color w:val="auto"/>
        </w:rPr>
      </w:pPr>
    </w:p>
    <w:p>
      <w:pPr>
        <w:ind w:left="5"/>
        <w:spacing w:after="0"/>
        <w:rPr>
          <w:sz w:val="20"/>
          <w:szCs w:val="20"/>
          <w:color w:val="auto"/>
        </w:rPr>
      </w:pPr>
      <w:r>
        <w:rPr>
          <w:rFonts w:ascii="Arial" w:cs="Arial" w:eastAsia="Arial" w:hAnsi="Arial"/>
          <w:sz w:val="19"/>
          <w:szCs w:val="19"/>
          <w:color w:val="auto"/>
        </w:rPr>
        <w:t>Amie D'Ambrosio</w:t>
      </w:r>
    </w:p>
    <w:p>
      <w:pPr>
        <w:ind w:left="5"/>
        <w:spacing w:after="0" w:line="233" w:lineRule="auto"/>
        <w:rPr>
          <w:sz w:val="20"/>
          <w:szCs w:val="20"/>
          <w:color w:val="auto"/>
        </w:rPr>
      </w:pPr>
      <w:r>
        <w:rPr>
          <w:rFonts w:ascii="Arial" w:cs="Arial" w:eastAsia="Arial" w:hAnsi="Arial"/>
          <w:sz w:val="19"/>
          <w:szCs w:val="19"/>
          <w:color w:val="auto"/>
        </w:rPr>
        <w:t>Director, Investor Relations</w:t>
      </w:r>
    </w:p>
    <w:p>
      <w:pPr>
        <w:spacing w:after="0" w:line="1" w:lineRule="exact"/>
        <w:rPr>
          <w:sz w:val="20"/>
          <w:szCs w:val="20"/>
          <w:color w:val="auto"/>
        </w:rPr>
      </w:pPr>
    </w:p>
    <w:p>
      <w:pPr>
        <w:ind w:left="5" w:right="8940" w:hanging="5"/>
        <w:spacing w:after="0" w:line="246"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375-3826 Amie.DAmbrosio@nov.com</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407670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96" w:right="31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9"/>
          <w:szCs w:val="19"/>
          <w:b w:val="1"/>
          <w:bCs w:val="1"/>
          <w:color w:val="auto"/>
        </w:rPr>
        <w:t>NOV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CONSOLIDATED STATEMENTS OF INCOME (Unaudited)</w:t>
      </w:r>
    </w:p>
    <w:p>
      <w:pPr>
        <w:jc w:val="center"/>
        <w:ind w:right="-119"/>
        <w:spacing w:after="0"/>
        <w:rPr>
          <w:sz w:val="20"/>
          <w:szCs w:val="20"/>
          <w:color w:val="auto"/>
        </w:rPr>
      </w:pPr>
      <w:r>
        <w:rPr>
          <w:rFonts w:ascii="Arial" w:cs="Arial" w:eastAsia="Arial" w:hAnsi="Arial"/>
          <w:sz w:val="19"/>
          <w:szCs w:val="19"/>
          <w:b w:val="1"/>
          <w:bCs w:val="1"/>
          <w:color w:val="auto"/>
        </w:rPr>
        <w:t>(In millions,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color w:val="auto"/>
              </w:rPr>
              <w:t>Three Months Ended</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4"/>
          </w:tcPr>
          <w:p>
            <w:pPr>
              <w:jc w:val="right"/>
              <w:ind w:right="573"/>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613"/>
              <w:spacing w:after="0" w:line="181" w:lineRule="exact"/>
              <w:rPr>
                <w:sz w:val="20"/>
                <w:szCs w:val="20"/>
                <w:color w:val="auto"/>
              </w:rPr>
            </w:pPr>
            <w:r>
              <w:rPr>
                <w:rFonts w:ascii="Arial" w:cs="Arial" w:eastAsia="Arial" w:hAnsi="Arial"/>
                <w:sz w:val="17"/>
                <w:szCs w:val="17"/>
                <w:color w:val="auto"/>
              </w:rPr>
              <w:t>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313"/>
              <w:spacing w:after="0" w:line="181" w:lineRule="exact"/>
              <w:rPr>
                <w:sz w:val="20"/>
                <w:szCs w:val="20"/>
                <w:color w:val="auto"/>
              </w:rPr>
            </w:pPr>
            <w:r>
              <w:rPr>
                <w:rFonts w:ascii="Arial" w:cs="Arial" w:eastAsia="Arial" w:hAnsi="Arial"/>
                <w:sz w:val="17"/>
                <w:szCs w:val="17"/>
                <w:color w:val="auto"/>
              </w:rPr>
              <w:t>June 30,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753"/>
              <w:spacing w:after="0" w:line="181" w:lineRule="exact"/>
              <w:rPr>
                <w:sz w:val="20"/>
                <w:szCs w:val="20"/>
                <w:color w:val="auto"/>
              </w:rPr>
            </w:pPr>
            <w:r>
              <w:rPr>
                <w:rFonts w:ascii="Arial" w:cs="Arial" w:eastAsia="Arial" w:hAnsi="Arial"/>
                <w:sz w:val="17"/>
                <w:szCs w:val="17"/>
                <w:color w:val="auto"/>
              </w:rPr>
              <w:t>September 30,</w:t>
            </w:r>
          </w:p>
        </w:tc>
        <w:tc>
          <w:tcPr>
            <w:tcW w:w="0" w:type="dxa"/>
            <w:vAlign w:val="bottom"/>
          </w:tcPr>
          <w:p>
            <w:pPr>
              <w:spacing w:after="0"/>
              <w:rPr>
                <w:sz w:val="1"/>
                <w:szCs w:val="1"/>
                <w:color w:val="auto"/>
              </w:rPr>
            </w:pPr>
          </w:p>
        </w:tc>
      </w:tr>
      <w:tr>
        <w:trPr>
          <w:trHeight w:val="181"/>
        </w:trPr>
        <w:tc>
          <w:tcPr>
            <w:tcW w:w="4580" w:type="dxa"/>
            <w:vAlign w:val="bottom"/>
            <w:vMerge w:val="restart"/>
          </w:tcPr>
          <w:p>
            <w:pPr>
              <w:spacing w:after="0"/>
              <w:rPr>
                <w:sz w:val="20"/>
                <w:szCs w:val="20"/>
                <w:color w:val="auto"/>
              </w:rPr>
            </w:pPr>
            <w:r>
              <w:rPr>
                <w:rFonts w:ascii="Arial" w:cs="Arial" w:eastAsia="Arial" w:hAnsi="Arial"/>
                <w:sz w:val="17"/>
                <w:szCs w:val="17"/>
                <w:color w:val="auto"/>
              </w:rPr>
              <w:t>Revenue:</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line="181" w:lineRule="exact"/>
              <w:rPr>
                <w:sz w:val="20"/>
                <w:szCs w:val="20"/>
                <w:color w:val="auto"/>
              </w:rPr>
            </w:pPr>
            <w:r>
              <w:rPr>
                <w:rFonts w:ascii="Arial" w:cs="Arial" w:eastAsia="Arial" w:hAnsi="Arial"/>
                <w:sz w:val="17"/>
                <w:szCs w:val="17"/>
                <w:color w:val="auto"/>
              </w:rPr>
              <w:t>2026</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line="181" w:lineRule="exact"/>
              <w:rPr>
                <w:sz w:val="20"/>
                <w:szCs w:val="20"/>
                <w:color w:val="auto"/>
              </w:rPr>
            </w:pPr>
            <w:r>
              <w:rPr>
                <w:rFonts w:ascii="Arial" w:cs="Arial" w:eastAsia="Arial" w:hAnsi="Arial"/>
                <w:sz w:val="17"/>
                <w:szCs w:val="17"/>
                <w:color w:val="auto"/>
              </w:rPr>
              <w:t>2025</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3"/>
              <w:spacing w:after="0" w:line="181" w:lineRule="exact"/>
              <w:rPr>
                <w:sz w:val="20"/>
                <w:szCs w:val="20"/>
                <w:color w:val="auto"/>
              </w:rPr>
            </w:pPr>
            <w:r>
              <w:rPr>
                <w:rFonts w:ascii="Arial" w:cs="Arial" w:eastAsia="Arial" w:hAnsi="Arial"/>
                <w:sz w:val="17"/>
                <w:szCs w:val="17"/>
                <w:color w:val="auto"/>
              </w:rPr>
              <w:t>2026</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line="181" w:lineRule="exact"/>
              <w:rPr>
                <w:sz w:val="20"/>
                <w:szCs w:val="20"/>
                <w:color w:val="auto"/>
              </w:rPr>
            </w:pPr>
            <w:r>
              <w:rPr>
                <w:rFonts w:ascii="Arial" w:cs="Arial" w:eastAsia="Arial" w:hAnsi="Arial"/>
                <w:sz w:val="17"/>
                <w:szCs w:val="17"/>
                <w:color w:val="auto"/>
              </w:rPr>
              <w:t>2026</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line="181"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162"/>
        </w:trPr>
        <w:tc>
          <w:tcPr>
            <w:tcW w:w="4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80"/>
              <w:spacing w:after="0" w:line="189" w:lineRule="exact"/>
              <w:rPr>
                <w:sz w:val="20"/>
                <w:szCs w:val="20"/>
                <w:color w:val="auto"/>
              </w:rPr>
            </w:pPr>
            <w:r>
              <w:rPr>
                <w:rFonts w:ascii="Arial" w:cs="Arial" w:eastAsia="Arial" w:hAnsi="Arial"/>
                <w:sz w:val="17"/>
                <w:szCs w:val="17"/>
                <w:color w:val="auto"/>
              </w:rPr>
              <w:t>Energy Equipment</w:t>
            </w:r>
          </w:p>
        </w:tc>
        <w:tc>
          <w:tcPr>
            <w:tcW w:w="180" w:type="dxa"/>
            <w:vAlign w:val="bottom"/>
            <w:gridSpan w:val="2"/>
          </w:tcPr>
          <w:p>
            <w:pPr>
              <w:jc w:val="right"/>
              <w:ind w:right="4"/>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ind w:right="93"/>
              <w:spacing w:after="0" w:line="189" w:lineRule="exact"/>
              <w:rPr>
                <w:sz w:val="20"/>
                <w:szCs w:val="20"/>
                <w:color w:val="auto"/>
              </w:rPr>
            </w:pPr>
            <w:r>
              <w:rPr>
                <w:rFonts w:ascii="Arial" w:cs="Arial" w:eastAsia="Arial" w:hAnsi="Arial"/>
                <w:sz w:val="17"/>
                <w:szCs w:val="17"/>
                <w:color w:val="auto"/>
              </w:rPr>
              <w:t>1,220</w:t>
            </w:r>
          </w:p>
        </w:tc>
        <w:tc>
          <w:tcPr>
            <w:tcW w:w="320" w:type="dxa"/>
            <w:vAlign w:val="bottom"/>
            <w:gridSpan w:val="2"/>
          </w:tcPr>
          <w:p>
            <w:pPr>
              <w:jc w:val="right"/>
              <w:ind w:right="13"/>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ind w:right="93"/>
              <w:spacing w:after="0" w:line="189" w:lineRule="exact"/>
              <w:rPr>
                <w:sz w:val="20"/>
                <w:szCs w:val="20"/>
                <w:color w:val="auto"/>
              </w:rPr>
            </w:pPr>
            <w:r>
              <w:rPr>
                <w:rFonts w:ascii="Arial" w:cs="Arial" w:eastAsia="Arial" w:hAnsi="Arial"/>
                <w:sz w:val="17"/>
                <w:szCs w:val="17"/>
                <w:color w:val="auto"/>
              </w:rPr>
              <w:t>1,247</w:t>
            </w:r>
          </w:p>
        </w:tc>
        <w:tc>
          <w:tcPr>
            <w:tcW w:w="2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93"/>
              <w:spacing w:after="0" w:line="189" w:lineRule="exact"/>
              <w:rPr>
                <w:sz w:val="20"/>
                <w:szCs w:val="20"/>
                <w:color w:val="auto"/>
              </w:rPr>
            </w:pPr>
            <w:r>
              <w:rPr>
                <w:rFonts w:ascii="Arial" w:cs="Arial" w:eastAsia="Arial" w:hAnsi="Arial"/>
                <w:sz w:val="17"/>
                <w:szCs w:val="17"/>
                <w:color w:val="auto"/>
              </w:rPr>
              <w:t>1,218</w:t>
            </w:r>
          </w:p>
        </w:tc>
        <w:tc>
          <w:tcPr>
            <w:tcW w:w="340" w:type="dxa"/>
            <w:vAlign w:val="bottom"/>
            <w:gridSpan w:val="2"/>
          </w:tcPr>
          <w:p>
            <w:pPr>
              <w:jc w:val="right"/>
              <w:ind w:right="33"/>
              <w:spacing w:after="0" w:line="189"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73"/>
              <w:spacing w:after="0" w:line="189" w:lineRule="exact"/>
              <w:rPr>
                <w:sz w:val="20"/>
                <w:szCs w:val="20"/>
                <w:color w:val="auto"/>
              </w:rPr>
            </w:pPr>
            <w:r>
              <w:rPr>
                <w:rFonts w:ascii="Arial" w:cs="Arial" w:eastAsia="Arial" w:hAnsi="Arial"/>
                <w:sz w:val="17"/>
                <w:szCs w:val="17"/>
                <w:color w:val="auto"/>
              </w:rPr>
              <w:t>3,628</w:t>
            </w:r>
          </w:p>
        </w:tc>
        <w:tc>
          <w:tcPr>
            <w:tcW w:w="360" w:type="dxa"/>
            <w:vAlign w:val="bottom"/>
            <w:gridSpan w:val="2"/>
          </w:tcPr>
          <w:p>
            <w:pPr>
              <w:jc w:val="right"/>
              <w:ind w:right="33"/>
              <w:spacing w:after="0" w:line="189"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93"/>
              <w:spacing w:after="0" w:line="189" w:lineRule="exact"/>
              <w:rPr>
                <w:sz w:val="20"/>
                <w:szCs w:val="20"/>
                <w:color w:val="auto"/>
              </w:rPr>
            </w:pPr>
            <w:r>
              <w:rPr>
                <w:rFonts w:ascii="Arial" w:cs="Arial" w:eastAsia="Arial" w:hAnsi="Arial"/>
                <w:sz w:val="17"/>
                <w:szCs w:val="17"/>
                <w:color w:val="auto"/>
              </w:rPr>
              <w:t>3,600</w:t>
            </w:r>
          </w:p>
        </w:tc>
        <w:tc>
          <w:tcPr>
            <w:tcW w:w="0" w:type="dxa"/>
            <w:vAlign w:val="bottom"/>
          </w:tcPr>
          <w:p>
            <w:pPr>
              <w:spacing w:after="0"/>
              <w:rPr>
                <w:sz w:val="1"/>
                <w:szCs w:val="1"/>
                <w:color w:val="auto"/>
              </w:rPr>
            </w:pPr>
          </w:p>
        </w:tc>
      </w:tr>
      <w:tr>
        <w:trPr>
          <w:trHeight w:val="189"/>
        </w:trPr>
        <w:tc>
          <w:tcPr>
            <w:tcW w:w="4580" w:type="dxa"/>
            <w:vAlign w:val="bottom"/>
          </w:tcPr>
          <w:p>
            <w:pPr>
              <w:ind w:left="80"/>
              <w:spacing w:after="0" w:line="189" w:lineRule="exact"/>
              <w:rPr>
                <w:sz w:val="20"/>
                <w:szCs w:val="20"/>
                <w:color w:val="auto"/>
              </w:rPr>
            </w:pPr>
            <w:r>
              <w:rPr>
                <w:rFonts w:ascii="Arial" w:cs="Arial" w:eastAsia="Arial" w:hAnsi="Arial"/>
                <w:sz w:val="17"/>
                <w:szCs w:val="17"/>
                <w:color w:val="auto"/>
              </w:rPr>
              <w:t>Energy Products and Services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3"/>
              <w:spacing w:after="0" w:line="189" w:lineRule="exact"/>
              <w:rPr>
                <w:sz w:val="20"/>
                <w:szCs w:val="20"/>
                <w:color w:val="auto"/>
              </w:rPr>
            </w:pPr>
            <w:r>
              <w:rPr>
                <w:rFonts w:ascii="Arial" w:cs="Arial" w:eastAsia="Arial" w:hAnsi="Arial"/>
                <w:sz w:val="17"/>
                <w:szCs w:val="17"/>
                <w:color w:val="auto"/>
              </w:rPr>
              <w:t>1,057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93"/>
              <w:spacing w:after="0" w:line="189" w:lineRule="exact"/>
              <w:rPr>
                <w:sz w:val="20"/>
                <w:szCs w:val="20"/>
                <w:color w:val="auto"/>
              </w:rPr>
            </w:pPr>
            <w:r>
              <w:rPr>
                <w:rFonts w:ascii="Arial" w:cs="Arial" w:eastAsia="Arial" w:hAnsi="Arial"/>
                <w:sz w:val="17"/>
                <w:szCs w:val="17"/>
                <w:color w:val="auto"/>
              </w:rPr>
              <w:t>971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3"/>
              <w:spacing w:after="0" w:line="189" w:lineRule="exact"/>
              <w:rPr>
                <w:sz w:val="20"/>
                <w:szCs w:val="20"/>
                <w:color w:val="auto"/>
              </w:rPr>
            </w:pPr>
            <w:r>
              <w:rPr>
                <w:rFonts w:ascii="Arial" w:cs="Arial" w:eastAsia="Arial" w:hAnsi="Arial"/>
                <w:sz w:val="17"/>
                <w:szCs w:val="17"/>
                <w:color w:val="auto"/>
              </w:rPr>
              <w:t>974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3"/>
              <w:spacing w:after="0" w:line="189" w:lineRule="exact"/>
              <w:rPr>
                <w:sz w:val="20"/>
                <w:szCs w:val="20"/>
                <w:color w:val="auto"/>
              </w:rPr>
            </w:pPr>
            <w:r>
              <w:rPr>
                <w:rFonts w:ascii="Arial" w:cs="Arial" w:eastAsia="Arial" w:hAnsi="Arial"/>
                <w:sz w:val="17"/>
                <w:szCs w:val="17"/>
                <w:color w:val="auto"/>
              </w:rPr>
              <w:t>2,928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93"/>
              <w:spacing w:after="0" w:line="189" w:lineRule="exact"/>
              <w:rPr>
                <w:sz w:val="20"/>
                <w:szCs w:val="20"/>
                <w:color w:val="auto"/>
              </w:rPr>
            </w:pPr>
            <w:r>
              <w:rPr>
                <w:rFonts w:ascii="Arial" w:cs="Arial" w:eastAsia="Arial" w:hAnsi="Arial"/>
                <w:sz w:val="17"/>
                <w:szCs w:val="17"/>
                <w:color w:val="auto"/>
              </w:rPr>
              <w:t>2,988</w:t>
            </w:r>
          </w:p>
        </w:tc>
        <w:tc>
          <w:tcPr>
            <w:tcW w:w="0" w:type="dxa"/>
            <w:vAlign w:val="bottom"/>
          </w:tcPr>
          <w:p>
            <w:pPr>
              <w:spacing w:after="0"/>
              <w:rPr>
                <w:sz w:val="1"/>
                <w:szCs w:val="1"/>
                <w:color w:val="auto"/>
              </w:rPr>
            </w:pPr>
          </w:p>
        </w:tc>
      </w:tr>
      <w:tr>
        <w:trPr>
          <w:trHeight w:val="208"/>
        </w:trPr>
        <w:tc>
          <w:tcPr>
            <w:tcW w:w="4580" w:type="dxa"/>
            <w:vAlign w:val="bottom"/>
          </w:tcPr>
          <w:p>
            <w:pPr>
              <w:ind w:left="80"/>
              <w:spacing w:after="0"/>
              <w:rPr>
                <w:sz w:val="20"/>
                <w:szCs w:val="20"/>
                <w:color w:val="auto"/>
              </w:rPr>
            </w:pPr>
            <w:r>
              <w:rPr>
                <w:rFonts w:ascii="Arial" w:cs="Arial" w:eastAsia="Arial" w:hAnsi="Arial"/>
                <w:sz w:val="17"/>
                <w:szCs w:val="17"/>
                <w:color w:val="auto"/>
              </w:rPr>
              <w:t>Eliminations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(144)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162"/>
        </w:trPr>
        <w:tc>
          <w:tcPr>
            <w:tcW w:w="4580" w:type="dxa"/>
            <w:vAlign w:val="bottom"/>
          </w:tcPr>
          <w:p>
            <w:pPr>
              <w:ind w:left="160"/>
              <w:spacing w:after="0" w:line="162" w:lineRule="exact"/>
              <w:rPr>
                <w:sz w:val="20"/>
                <w:szCs w:val="20"/>
                <w:color w:val="auto"/>
              </w:rPr>
            </w:pPr>
            <w:r>
              <w:rPr>
                <w:rFonts w:ascii="Arial" w:cs="Arial" w:eastAsia="Arial" w:hAnsi="Arial"/>
                <w:sz w:val="17"/>
                <w:szCs w:val="17"/>
                <w:color w:val="auto"/>
              </w:rPr>
              <w:t>Total revenue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93"/>
              <w:spacing w:after="0" w:line="162" w:lineRule="exact"/>
              <w:rPr>
                <w:sz w:val="20"/>
                <w:szCs w:val="20"/>
                <w:color w:val="auto"/>
              </w:rPr>
            </w:pPr>
            <w:r>
              <w:rPr>
                <w:rFonts w:ascii="Arial" w:cs="Arial" w:eastAsia="Arial" w:hAnsi="Arial"/>
                <w:sz w:val="17"/>
                <w:szCs w:val="17"/>
                <w:color w:val="auto"/>
              </w:rPr>
              <w:t>2,226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93"/>
              <w:spacing w:after="0" w:line="162" w:lineRule="exact"/>
              <w:rPr>
                <w:sz w:val="20"/>
                <w:szCs w:val="20"/>
                <w:color w:val="auto"/>
              </w:rPr>
            </w:pPr>
            <w:r>
              <w:rPr>
                <w:rFonts w:ascii="Arial" w:cs="Arial" w:eastAsia="Arial" w:hAnsi="Arial"/>
                <w:sz w:val="17"/>
                <w:szCs w:val="17"/>
                <w:color w:val="auto"/>
              </w:rPr>
              <w:t>2,176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93"/>
              <w:spacing w:after="0" w:line="162" w:lineRule="exact"/>
              <w:rPr>
                <w:sz w:val="20"/>
                <w:szCs w:val="20"/>
                <w:color w:val="auto"/>
              </w:rPr>
            </w:pPr>
            <w:r>
              <w:rPr>
                <w:rFonts w:ascii="Arial" w:cs="Arial" w:eastAsia="Arial" w:hAnsi="Arial"/>
                <w:sz w:val="17"/>
                <w:szCs w:val="17"/>
                <w:color w:val="auto"/>
              </w:rPr>
              <w:t>2,134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73"/>
              <w:spacing w:after="0" w:line="162" w:lineRule="exact"/>
              <w:rPr>
                <w:sz w:val="20"/>
                <w:szCs w:val="20"/>
                <w:color w:val="auto"/>
              </w:rPr>
            </w:pPr>
            <w:r>
              <w:rPr>
                <w:rFonts w:ascii="Arial" w:cs="Arial" w:eastAsia="Arial" w:hAnsi="Arial"/>
                <w:sz w:val="17"/>
                <w:szCs w:val="17"/>
                <w:color w:val="auto"/>
              </w:rPr>
              <w:t>6,412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93"/>
              <w:spacing w:after="0" w:line="162" w:lineRule="exact"/>
              <w:rPr>
                <w:sz w:val="20"/>
                <w:szCs w:val="20"/>
                <w:color w:val="auto"/>
              </w:rPr>
            </w:pPr>
            <w:r>
              <w:rPr>
                <w:rFonts w:ascii="Arial" w:cs="Arial" w:eastAsia="Arial" w:hAnsi="Arial"/>
                <w:sz w:val="17"/>
                <w:szCs w:val="17"/>
                <w:color w:val="auto"/>
              </w:rPr>
              <w:t>6,467</w:t>
            </w: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color w:val="auto"/>
              </w:rPr>
              <w:t>Gross profit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3"/>
              <w:spacing w:after="0" w:line="189" w:lineRule="exact"/>
              <w:rPr>
                <w:sz w:val="20"/>
                <w:szCs w:val="20"/>
                <w:color w:val="auto"/>
              </w:rPr>
            </w:pPr>
            <w:r>
              <w:rPr>
                <w:rFonts w:ascii="Arial" w:cs="Arial" w:eastAsia="Arial" w:hAnsi="Arial"/>
                <w:sz w:val="17"/>
                <w:szCs w:val="17"/>
                <w:color w:val="auto"/>
              </w:rPr>
              <w:t>439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93"/>
              <w:spacing w:after="0" w:line="189" w:lineRule="exact"/>
              <w:rPr>
                <w:sz w:val="20"/>
                <w:szCs w:val="20"/>
                <w:color w:val="auto"/>
              </w:rPr>
            </w:pPr>
            <w:r>
              <w:rPr>
                <w:rFonts w:ascii="Arial" w:cs="Arial" w:eastAsia="Arial" w:hAnsi="Arial"/>
                <w:sz w:val="17"/>
                <w:szCs w:val="17"/>
                <w:color w:val="auto"/>
              </w:rPr>
              <w:t>412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3"/>
              <w:spacing w:after="0" w:line="189" w:lineRule="exact"/>
              <w:rPr>
                <w:sz w:val="20"/>
                <w:szCs w:val="20"/>
                <w:color w:val="auto"/>
              </w:rPr>
            </w:pPr>
            <w:r>
              <w:rPr>
                <w:rFonts w:ascii="Arial" w:cs="Arial" w:eastAsia="Arial" w:hAnsi="Arial"/>
                <w:sz w:val="17"/>
                <w:szCs w:val="17"/>
                <w:color w:val="auto"/>
              </w:rPr>
              <w:t>521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3"/>
              <w:spacing w:after="0" w:line="189" w:lineRule="exact"/>
              <w:rPr>
                <w:sz w:val="20"/>
                <w:szCs w:val="20"/>
                <w:color w:val="auto"/>
              </w:rPr>
            </w:pPr>
            <w:r>
              <w:rPr>
                <w:rFonts w:ascii="Arial" w:cs="Arial" w:eastAsia="Arial" w:hAnsi="Arial"/>
                <w:sz w:val="17"/>
                <w:szCs w:val="17"/>
                <w:color w:val="auto"/>
              </w:rPr>
              <w:t>1,339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93"/>
              <w:spacing w:after="0" w:line="189" w:lineRule="exact"/>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7"/>
                <w:szCs w:val="17"/>
                <w:color w:val="auto"/>
              </w:rPr>
              <w:t>Gross profit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358"/>
        </w:trPr>
        <w:tc>
          <w:tcPr>
            <w:tcW w:w="458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297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305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328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957</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903</w:t>
            </w:r>
          </w:p>
        </w:tc>
        <w:tc>
          <w:tcPr>
            <w:tcW w:w="0" w:type="dxa"/>
            <w:vAlign w:val="bottom"/>
          </w:tcPr>
          <w:p>
            <w:pPr>
              <w:spacing w:after="0"/>
              <w:rPr>
                <w:sz w:val="1"/>
                <w:szCs w:val="1"/>
                <w:color w:val="auto"/>
              </w:rPr>
            </w:pPr>
          </w:p>
        </w:tc>
      </w:tr>
      <w:tr>
        <w:trPr>
          <w:trHeight w:val="162"/>
        </w:trPr>
        <w:tc>
          <w:tcPr>
            <w:tcW w:w="4580" w:type="dxa"/>
            <w:vAlign w:val="bottom"/>
          </w:tcPr>
          <w:p>
            <w:pPr>
              <w:ind w:left="80"/>
              <w:spacing w:after="0" w:line="162" w:lineRule="exact"/>
              <w:rPr>
                <w:sz w:val="20"/>
                <w:szCs w:val="20"/>
                <w:color w:val="auto"/>
              </w:rPr>
            </w:pPr>
            <w:r>
              <w:rPr>
                <w:rFonts w:ascii="Arial" w:cs="Arial" w:eastAsia="Arial" w:hAnsi="Arial"/>
                <w:sz w:val="17"/>
                <w:szCs w:val="17"/>
                <w:color w:val="auto"/>
              </w:rPr>
              <w:t>Operating profit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93"/>
              <w:spacing w:after="0" w:line="162" w:lineRule="exact"/>
              <w:rPr>
                <w:sz w:val="20"/>
                <w:szCs w:val="20"/>
                <w:color w:val="auto"/>
              </w:rPr>
            </w:pPr>
            <w:r>
              <w:rPr>
                <w:rFonts w:ascii="Arial" w:cs="Arial" w:eastAsia="Arial" w:hAnsi="Arial"/>
                <w:sz w:val="17"/>
                <w:szCs w:val="17"/>
                <w:color w:val="auto"/>
              </w:rPr>
              <w:t>142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93"/>
              <w:spacing w:after="0" w:line="162" w:lineRule="exact"/>
              <w:rPr>
                <w:sz w:val="20"/>
                <w:szCs w:val="20"/>
                <w:color w:val="auto"/>
              </w:rPr>
            </w:pPr>
            <w:r>
              <w:rPr>
                <w:rFonts w:ascii="Arial" w:cs="Arial" w:eastAsia="Arial" w:hAnsi="Arial"/>
                <w:sz w:val="17"/>
                <w:szCs w:val="17"/>
                <w:color w:val="auto"/>
              </w:rPr>
              <w:t>107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93"/>
              <w:spacing w:after="0" w:line="162" w:lineRule="exact"/>
              <w:rPr>
                <w:sz w:val="20"/>
                <w:szCs w:val="20"/>
                <w:color w:val="auto"/>
              </w:rPr>
            </w:pPr>
            <w:r>
              <w:rPr>
                <w:rFonts w:ascii="Arial" w:cs="Arial" w:eastAsia="Arial" w:hAnsi="Arial"/>
                <w:sz w:val="17"/>
                <w:szCs w:val="17"/>
                <w:color w:val="auto"/>
              </w:rPr>
              <w:t>193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73"/>
              <w:spacing w:after="0" w:line="162" w:lineRule="exact"/>
              <w:rPr>
                <w:sz w:val="20"/>
                <w:szCs w:val="20"/>
                <w:color w:val="auto"/>
              </w:rPr>
            </w:pPr>
            <w:r>
              <w:rPr>
                <w:rFonts w:ascii="Arial" w:cs="Arial" w:eastAsia="Arial" w:hAnsi="Arial"/>
                <w:sz w:val="17"/>
                <w:szCs w:val="17"/>
                <w:color w:val="auto"/>
              </w:rPr>
              <w:t>382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93"/>
              <w:spacing w:after="0" w:line="162" w:lineRule="exact"/>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3"/>
              <w:spacing w:after="0" w:line="189" w:lineRule="exact"/>
              <w:rPr>
                <w:sz w:val="20"/>
                <w:szCs w:val="20"/>
                <w:color w:val="auto"/>
              </w:rPr>
            </w:pPr>
            <w:r>
              <w:rPr>
                <w:rFonts w:ascii="Arial" w:cs="Arial" w:eastAsia="Arial" w:hAnsi="Arial"/>
                <w:sz w:val="17"/>
                <w:szCs w:val="17"/>
                <w:color w:val="auto"/>
              </w:rPr>
              <w:t>(12)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3"/>
              <w:spacing w:after="0" w:line="189" w:lineRule="exact"/>
              <w:rPr>
                <w:sz w:val="20"/>
                <w:szCs w:val="20"/>
                <w:color w:val="auto"/>
              </w:rPr>
            </w:pPr>
            <w:r>
              <w:rPr>
                <w:rFonts w:ascii="Arial" w:cs="Arial" w:eastAsia="Arial" w:hAnsi="Arial"/>
                <w:sz w:val="17"/>
                <w:szCs w:val="17"/>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33"/>
              <w:spacing w:after="0" w:line="189" w:lineRule="exact"/>
              <w:rPr>
                <w:sz w:val="20"/>
                <w:szCs w:val="20"/>
                <w:color w:val="auto"/>
              </w:rPr>
            </w:pPr>
            <w:r>
              <w:rPr>
                <w:rFonts w:ascii="Arial" w:cs="Arial" w:eastAsia="Arial" w:hAnsi="Arial"/>
                <w:sz w:val="17"/>
                <w:szCs w:val="17"/>
                <w:color w:val="auto"/>
              </w:rPr>
              <w:t>(13)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3"/>
              <w:spacing w:after="0" w:line="189" w:lineRule="exact"/>
              <w:rPr>
                <w:sz w:val="20"/>
                <w:szCs w:val="20"/>
                <w:color w:val="auto"/>
              </w:rPr>
            </w:pPr>
            <w:r>
              <w:rPr>
                <w:rFonts w:ascii="Arial" w:cs="Arial" w:eastAsia="Arial" w:hAnsi="Arial"/>
                <w:sz w:val="17"/>
                <w:szCs w:val="17"/>
                <w:color w:val="auto"/>
              </w:rPr>
              <w:t>(36)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3"/>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color w:val="auto"/>
              </w:rPr>
              <w:t>Equity loss in unconsolidated affiliates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3"/>
              <w:spacing w:after="0" w:line="189" w:lineRule="exact"/>
              <w:rPr>
                <w:sz w:val="20"/>
                <w:szCs w:val="20"/>
                <w:color w:val="auto"/>
              </w:rPr>
            </w:pPr>
            <w:r>
              <w:rPr>
                <w:rFonts w:ascii="Arial" w:cs="Arial" w:eastAsia="Arial" w:hAnsi="Arial"/>
                <w:sz w:val="17"/>
                <w:szCs w:val="17"/>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3"/>
              <w:spacing w:after="0" w:line="189" w:lineRule="exact"/>
              <w:rPr>
                <w:sz w:val="20"/>
                <w:szCs w:val="20"/>
                <w:color w:val="auto"/>
              </w:rPr>
            </w:pPr>
            <w:r>
              <w:rPr>
                <w:rFonts w:ascii="Arial" w:cs="Arial" w:eastAsia="Arial" w:hAnsi="Arial"/>
                <w:sz w:val="17"/>
                <w:szCs w:val="17"/>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33"/>
              <w:spacing w:after="0" w:line="189" w:lineRule="exact"/>
              <w:rPr>
                <w:sz w:val="20"/>
                <w:szCs w:val="20"/>
                <w:color w:val="auto"/>
              </w:rPr>
            </w:pPr>
            <w:r>
              <w:rPr>
                <w:rFonts w:ascii="Arial" w:cs="Arial" w:eastAsia="Arial" w:hAnsi="Arial"/>
                <w:sz w:val="17"/>
                <w:szCs w:val="17"/>
                <w:color w:val="auto"/>
              </w:rPr>
              <w:t>(5)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3"/>
              <w:spacing w:after="0" w:line="189" w:lineRule="exact"/>
              <w:rPr>
                <w:sz w:val="20"/>
                <w:szCs w:val="20"/>
                <w:color w:val="auto"/>
              </w:rPr>
            </w:pPr>
            <w:r>
              <w:rPr>
                <w:rFonts w:ascii="Arial" w:cs="Arial" w:eastAsia="Arial" w:hAnsi="Arial"/>
                <w:sz w:val="17"/>
                <w:szCs w:val="17"/>
                <w:color w:val="auto"/>
              </w:rPr>
              <w:t>(15)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3"/>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8"/>
        </w:trPr>
        <w:tc>
          <w:tcPr>
            <w:tcW w:w="4580" w:type="dxa"/>
            <w:vAlign w:val="bottom"/>
          </w:tcPr>
          <w:p>
            <w:pPr>
              <w:spacing w:after="0"/>
              <w:rPr>
                <w:sz w:val="20"/>
                <w:szCs w:val="20"/>
                <w:color w:val="auto"/>
              </w:rPr>
            </w:pPr>
            <w:r>
              <w:rPr>
                <w:rFonts w:ascii="Arial" w:cs="Arial" w:eastAsia="Arial" w:hAnsi="Arial"/>
                <w:sz w:val="17"/>
                <w:szCs w:val="17"/>
                <w:color w:val="auto"/>
              </w:rPr>
              <w:t>Other expense, net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62"/>
        </w:trPr>
        <w:tc>
          <w:tcPr>
            <w:tcW w:w="4580" w:type="dxa"/>
            <w:vAlign w:val="bottom"/>
          </w:tcPr>
          <w:p>
            <w:pPr>
              <w:ind w:left="80"/>
              <w:spacing w:after="0" w:line="162" w:lineRule="exact"/>
              <w:rPr>
                <w:sz w:val="20"/>
                <w:szCs w:val="20"/>
                <w:color w:val="auto"/>
              </w:rPr>
            </w:pPr>
            <w:r>
              <w:rPr>
                <w:rFonts w:ascii="Arial" w:cs="Arial" w:eastAsia="Arial" w:hAnsi="Arial"/>
                <w:sz w:val="17"/>
                <w:szCs w:val="17"/>
                <w:color w:val="auto"/>
              </w:rPr>
              <w:t>Income before income taxes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93"/>
              <w:spacing w:after="0" w:line="162" w:lineRule="exact"/>
              <w:rPr>
                <w:sz w:val="20"/>
                <w:szCs w:val="20"/>
                <w:color w:val="auto"/>
              </w:rPr>
            </w:pPr>
            <w:r>
              <w:rPr>
                <w:rFonts w:ascii="Arial" w:cs="Arial" w:eastAsia="Arial" w:hAnsi="Arial"/>
                <w:sz w:val="17"/>
                <w:szCs w:val="17"/>
                <w:color w:val="auto"/>
              </w:rPr>
              <w:t>123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93"/>
              <w:spacing w:after="0" w:line="162" w:lineRule="exact"/>
              <w:rPr>
                <w:sz w:val="20"/>
                <w:szCs w:val="20"/>
                <w:color w:val="auto"/>
              </w:rPr>
            </w:pPr>
            <w:r>
              <w:rPr>
                <w:rFonts w:ascii="Arial" w:cs="Arial" w:eastAsia="Arial" w:hAnsi="Arial"/>
                <w:sz w:val="17"/>
                <w:szCs w:val="17"/>
                <w:color w:val="auto"/>
              </w:rPr>
              <w:t>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93"/>
              <w:spacing w:after="0" w:line="162" w:lineRule="exact"/>
              <w:rPr>
                <w:sz w:val="20"/>
                <w:szCs w:val="20"/>
                <w:color w:val="auto"/>
              </w:rPr>
            </w:pPr>
            <w:r>
              <w:rPr>
                <w:rFonts w:ascii="Arial" w:cs="Arial" w:eastAsia="Arial" w:hAnsi="Arial"/>
                <w:sz w:val="17"/>
                <w:szCs w:val="17"/>
                <w:color w:val="auto"/>
              </w:rPr>
              <w:t>157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73"/>
              <w:spacing w:after="0" w:line="162" w:lineRule="exact"/>
              <w:rPr>
                <w:sz w:val="20"/>
                <w:szCs w:val="20"/>
                <w:color w:val="auto"/>
              </w:rPr>
            </w:pPr>
            <w:r>
              <w:rPr>
                <w:rFonts w:ascii="Arial" w:cs="Arial" w:eastAsia="Arial" w:hAnsi="Arial"/>
                <w:sz w:val="17"/>
                <w:szCs w:val="17"/>
                <w:color w:val="auto"/>
              </w:rPr>
              <w:t>315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93"/>
              <w:spacing w:after="0" w:line="162" w:lineRule="exact"/>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08"/>
        </w:trPr>
        <w:tc>
          <w:tcPr>
            <w:tcW w:w="458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84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62"/>
        </w:trPr>
        <w:tc>
          <w:tcPr>
            <w:tcW w:w="4580" w:type="dxa"/>
            <w:vAlign w:val="bottom"/>
          </w:tcPr>
          <w:p>
            <w:pPr>
              <w:ind w:left="80"/>
              <w:spacing w:after="0" w:line="162" w:lineRule="exact"/>
              <w:rPr>
                <w:sz w:val="20"/>
                <w:szCs w:val="20"/>
                <w:color w:val="auto"/>
              </w:rPr>
            </w:pPr>
            <w:r>
              <w:rPr>
                <w:rFonts w:ascii="Arial" w:cs="Arial" w:eastAsia="Arial" w:hAnsi="Arial"/>
                <w:sz w:val="17"/>
                <w:szCs w:val="17"/>
                <w:color w:val="auto"/>
              </w:rPr>
              <w:t>Net income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93"/>
              <w:spacing w:after="0" w:line="162" w:lineRule="exact"/>
              <w:rPr>
                <w:sz w:val="20"/>
                <w:szCs w:val="20"/>
                <w:color w:val="auto"/>
              </w:rPr>
            </w:pPr>
            <w:r>
              <w:rPr>
                <w:rFonts w:ascii="Arial" w:cs="Arial" w:eastAsia="Arial" w:hAnsi="Arial"/>
                <w:sz w:val="17"/>
                <w:szCs w:val="17"/>
                <w:color w:val="auto"/>
              </w:rPr>
              <w:t>95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93"/>
              <w:spacing w:after="0" w:line="162" w:lineRule="exact"/>
              <w:rPr>
                <w:sz w:val="20"/>
                <w:szCs w:val="20"/>
                <w:color w:val="auto"/>
              </w:rPr>
            </w:pPr>
            <w:r>
              <w:rPr>
                <w:rFonts w:ascii="Arial" w:cs="Arial" w:eastAsia="Arial" w:hAnsi="Arial"/>
                <w:sz w:val="17"/>
                <w:szCs w:val="17"/>
                <w:color w:val="auto"/>
              </w:rPr>
              <w:t>44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93"/>
              <w:spacing w:after="0" w:line="162" w:lineRule="exact"/>
              <w:rPr>
                <w:sz w:val="20"/>
                <w:szCs w:val="20"/>
                <w:color w:val="auto"/>
              </w:rPr>
            </w:pPr>
            <w:r>
              <w:rPr>
                <w:rFonts w:ascii="Arial" w:cs="Arial" w:eastAsia="Arial" w:hAnsi="Arial"/>
                <w:sz w:val="17"/>
                <w:szCs w:val="17"/>
                <w:color w:val="auto"/>
              </w:rPr>
              <w:t>116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73"/>
              <w:spacing w:after="0" w:line="162" w:lineRule="exact"/>
              <w:rPr>
                <w:sz w:val="20"/>
                <w:szCs w:val="20"/>
                <w:color w:val="auto"/>
              </w:rPr>
            </w:pPr>
            <w:r>
              <w:rPr>
                <w:rFonts w:ascii="Arial" w:cs="Arial" w:eastAsia="Arial" w:hAnsi="Arial"/>
                <w:sz w:val="17"/>
                <w:szCs w:val="17"/>
                <w:color w:val="auto"/>
              </w:rPr>
              <w:t>231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93"/>
              <w:spacing w:after="0" w:line="162" w:lineRule="exact"/>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08"/>
        </w:trPr>
        <w:tc>
          <w:tcPr>
            <w:tcW w:w="4580" w:type="dxa"/>
            <w:vAlign w:val="bottom"/>
          </w:tcPr>
          <w:p>
            <w:pPr>
              <w:spacing w:after="0"/>
              <w:rPr>
                <w:sz w:val="20"/>
                <w:szCs w:val="20"/>
                <w:color w:val="auto"/>
              </w:rPr>
            </w:pPr>
            <w:r>
              <w:rPr>
                <w:rFonts w:ascii="Arial" w:cs="Arial" w:eastAsia="Arial" w:hAnsi="Arial"/>
                <w:sz w:val="17"/>
                <w:szCs w:val="17"/>
                <w:color w:val="auto"/>
              </w:rPr>
              <w:t>Net income attributable to noncontrolling interests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1"/>
        </w:trPr>
        <w:tc>
          <w:tcPr>
            <w:tcW w:w="4580" w:type="dxa"/>
            <w:vAlign w:val="bottom"/>
          </w:tcPr>
          <w:p>
            <w:pPr>
              <w:ind w:left="80"/>
              <w:spacing w:after="0" w:line="169" w:lineRule="exact"/>
              <w:rPr>
                <w:sz w:val="20"/>
                <w:szCs w:val="20"/>
                <w:color w:val="auto"/>
              </w:rPr>
            </w:pPr>
            <w:r>
              <w:rPr>
                <w:rFonts w:ascii="Arial" w:cs="Arial" w:eastAsia="Arial" w:hAnsi="Arial"/>
                <w:sz w:val="17"/>
                <w:szCs w:val="17"/>
                <w:color w:val="auto"/>
              </w:rPr>
              <w:t>Net income attributable to Company</w:t>
            </w:r>
          </w:p>
        </w:tc>
        <w:tc>
          <w:tcPr>
            <w:tcW w:w="20" w:type="dxa"/>
            <w:vAlign w:val="bottom"/>
          </w:tcPr>
          <w:p>
            <w:pPr>
              <w:spacing w:after="0"/>
              <w:rPr>
                <w:sz w:val="15"/>
                <w:szCs w:val="15"/>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93"/>
              <w:spacing w:after="0" w:line="169" w:lineRule="exact"/>
              <w:rPr>
                <w:sz w:val="20"/>
                <w:szCs w:val="20"/>
                <w:color w:val="auto"/>
              </w:rPr>
            </w:pPr>
            <w:r>
              <w:rPr>
                <w:rFonts w:ascii="Arial" w:cs="Arial" w:eastAsia="Arial" w:hAnsi="Arial"/>
                <w:sz w:val="17"/>
                <w:szCs w:val="17"/>
                <w:color w:val="auto"/>
              </w:rPr>
              <w:t>90</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3"/>
              <w:spacing w:after="0" w:line="169" w:lineRule="exact"/>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ind w:right="93"/>
              <w:spacing w:after="0" w:line="169" w:lineRule="exact"/>
              <w:rPr>
                <w:sz w:val="20"/>
                <w:szCs w:val="20"/>
                <w:color w:val="auto"/>
              </w:rPr>
            </w:pPr>
            <w:r>
              <w:rPr>
                <w:rFonts w:ascii="Arial" w:cs="Arial" w:eastAsia="Arial" w:hAnsi="Arial"/>
                <w:sz w:val="17"/>
                <w:szCs w:val="17"/>
                <w:color w:val="auto"/>
              </w:rPr>
              <w:t>42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93"/>
              <w:spacing w:after="0" w:line="169" w:lineRule="exact"/>
              <w:rPr>
                <w:sz w:val="20"/>
                <w:szCs w:val="20"/>
                <w:color w:val="auto"/>
              </w:rPr>
            </w:pPr>
            <w:r>
              <w:rPr>
                <w:rFonts w:ascii="Arial" w:cs="Arial" w:eastAsia="Arial" w:hAnsi="Arial"/>
                <w:sz w:val="17"/>
                <w:szCs w:val="17"/>
                <w:color w:val="auto"/>
              </w:rPr>
              <w:t>112</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33"/>
              <w:spacing w:after="0" w:line="169"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73"/>
              <w:spacing w:after="0" w:line="169" w:lineRule="exact"/>
              <w:rPr>
                <w:sz w:val="20"/>
                <w:szCs w:val="20"/>
                <w:color w:val="auto"/>
              </w:rPr>
            </w:pPr>
            <w:r>
              <w:rPr>
                <w:rFonts w:ascii="Arial" w:cs="Arial" w:eastAsia="Arial" w:hAnsi="Arial"/>
                <w:sz w:val="17"/>
                <w:szCs w:val="17"/>
                <w:color w:val="auto"/>
              </w:rPr>
              <w:t>221</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33"/>
              <w:spacing w:after="0" w:line="169"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93"/>
              <w:spacing w:after="0" w:line="169" w:lineRule="exact"/>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7"/>
                <w:szCs w:val="17"/>
                <w:color w:val="auto"/>
              </w:rPr>
              <w:t>Per share data:</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580" w:type="dxa"/>
            <w:vAlign w:val="bottom"/>
            <w:vMerge w:val="continue"/>
          </w:tcPr>
          <w:p>
            <w:pPr>
              <w:spacing w:after="0"/>
              <w:rPr>
                <w:sz w:val="15"/>
                <w:szCs w:val="15"/>
                <w:color w:val="auto"/>
              </w:rPr>
            </w:pPr>
          </w:p>
        </w:tc>
        <w:tc>
          <w:tcPr>
            <w:tcW w:w="180" w:type="dxa"/>
            <w:vAlign w:val="bottom"/>
            <w:gridSpan w:val="2"/>
            <w:vMerge w:val="restart"/>
          </w:tcPr>
          <w:p>
            <w:pPr>
              <w:jc w:val="right"/>
              <w:ind w:right="4"/>
              <w:spacing w:after="0"/>
              <w:rPr>
                <w:sz w:val="20"/>
                <w:szCs w:val="20"/>
                <w:color w:val="auto"/>
              </w:rPr>
            </w:pPr>
            <w:r>
              <w:rPr>
                <w:rFonts w:ascii="Arial" w:cs="Arial" w:eastAsia="Arial" w:hAnsi="Arial"/>
                <w:sz w:val="17"/>
                <w:szCs w:val="17"/>
                <w:color w:val="auto"/>
                <w:w w:val="84"/>
              </w:rPr>
              <w:t>$</w:t>
            </w:r>
          </w:p>
        </w:tc>
        <w:tc>
          <w:tcPr>
            <w:tcW w:w="940" w:type="dxa"/>
            <w:vAlign w:val="bottom"/>
            <w:vMerge w:val="restart"/>
          </w:tcPr>
          <w:p>
            <w:pPr>
              <w:jc w:val="right"/>
              <w:ind w:right="93"/>
              <w:spacing w:after="0"/>
              <w:rPr>
                <w:sz w:val="20"/>
                <w:szCs w:val="20"/>
                <w:color w:val="auto"/>
              </w:rPr>
            </w:pPr>
            <w:r>
              <w:rPr>
                <w:rFonts w:ascii="Arial" w:cs="Arial" w:eastAsia="Arial" w:hAnsi="Arial"/>
                <w:sz w:val="17"/>
                <w:szCs w:val="17"/>
                <w:color w:val="auto"/>
              </w:rPr>
              <w:t>0.25</w:t>
            </w:r>
          </w:p>
        </w:tc>
        <w:tc>
          <w:tcPr>
            <w:tcW w:w="320" w:type="dxa"/>
            <w:vAlign w:val="bottom"/>
            <w:gridSpan w:val="2"/>
            <w:vMerge w:val="restart"/>
          </w:tcPr>
          <w:p>
            <w:pPr>
              <w:jc w:val="right"/>
              <w:ind w:right="13"/>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ind w:right="93"/>
              <w:spacing w:after="0"/>
              <w:rPr>
                <w:sz w:val="20"/>
                <w:szCs w:val="20"/>
                <w:color w:val="auto"/>
              </w:rPr>
            </w:pPr>
            <w:r>
              <w:rPr>
                <w:rFonts w:ascii="Arial" w:cs="Arial" w:eastAsia="Arial" w:hAnsi="Arial"/>
                <w:sz w:val="17"/>
                <w:szCs w:val="17"/>
                <w:color w:val="auto"/>
              </w:rPr>
              <w:t>0.11</w:t>
            </w:r>
          </w:p>
        </w:tc>
        <w:tc>
          <w:tcPr>
            <w:tcW w:w="2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ind w:right="93"/>
              <w:spacing w:after="0"/>
              <w:rPr>
                <w:sz w:val="20"/>
                <w:szCs w:val="20"/>
                <w:color w:val="auto"/>
              </w:rPr>
            </w:pPr>
            <w:r>
              <w:rPr>
                <w:rFonts w:ascii="Arial" w:cs="Arial" w:eastAsia="Arial" w:hAnsi="Arial"/>
                <w:sz w:val="17"/>
                <w:szCs w:val="17"/>
                <w:color w:val="auto"/>
              </w:rPr>
              <w:t>0.31</w:t>
            </w:r>
          </w:p>
        </w:tc>
        <w:tc>
          <w:tcPr>
            <w:tcW w:w="340" w:type="dxa"/>
            <w:vAlign w:val="bottom"/>
            <w:gridSpan w:val="2"/>
            <w:vMerge w:val="restart"/>
          </w:tcPr>
          <w:p>
            <w:pPr>
              <w:jc w:val="right"/>
              <w:ind w:right="33"/>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ind w:right="73"/>
              <w:spacing w:after="0"/>
              <w:rPr>
                <w:sz w:val="20"/>
                <w:szCs w:val="20"/>
                <w:color w:val="auto"/>
              </w:rPr>
            </w:pPr>
            <w:r>
              <w:rPr>
                <w:rFonts w:ascii="Arial" w:cs="Arial" w:eastAsia="Arial" w:hAnsi="Arial"/>
                <w:sz w:val="17"/>
                <w:szCs w:val="17"/>
                <w:color w:val="auto"/>
              </w:rPr>
              <w:t>0.62</w:t>
            </w:r>
          </w:p>
        </w:tc>
        <w:tc>
          <w:tcPr>
            <w:tcW w:w="360" w:type="dxa"/>
            <w:vAlign w:val="bottom"/>
            <w:gridSpan w:val="2"/>
            <w:vMerge w:val="restart"/>
          </w:tcPr>
          <w:p>
            <w:pPr>
              <w:jc w:val="right"/>
              <w:ind w:right="33"/>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ind w:right="93"/>
              <w:spacing w:after="0"/>
              <w:rPr>
                <w:sz w:val="20"/>
                <w:szCs w:val="20"/>
                <w:color w:val="auto"/>
              </w:rPr>
            </w:pPr>
            <w:r>
              <w:rPr>
                <w:rFonts w:ascii="Arial" w:cs="Arial" w:eastAsia="Arial" w:hAnsi="Arial"/>
                <w:sz w:val="17"/>
                <w:szCs w:val="17"/>
                <w:color w:val="auto"/>
              </w:rPr>
              <w:t>0.59</w:t>
            </w:r>
          </w:p>
        </w:tc>
        <w:tc>
          <w:tcPr>
            <w:tcW w:w="0" w:type="dxa"/>
            <w:vAlign w:val="bottom"/>
          </w:tcPr>
          <w:p>
            <w:pPr>
              <w:spacing w:after="0"/>
              <w:rPr>
                <w:sz w:val="1"/>
                <w:szCs w:val="1"/>
                <w:color w:val="auto"/>
              </w:rPr>
            </w:pPr>
          </w:p>
        </w:tc>
      </w:tr>
      <w:tr>
        <w:trPr>
          <w:trHeight w:val="173"/>
        </w:trPr>
        <w:tc>
          <w:tcPr>
            <w:tcW w:w="4580" w:type="dxa"/>
            <w:vAlign w:val="bottom"/>
          </w:tcPr>
          <w:p>
            <w:pPr>
              <w:ind w:left="80"/>
              <w:spacing w:after="0" w:line="153" w:lineRule="exact"/>
              <w:rPr>
                <w:sz w:val="20"/>
                <w:szCs w:val="20"/>
                <w:color w:val="auto"/>
              </w:rPr>
            </w:pPr>
            <w:r>
              <w:rPr>
                <w:rFonts w:ascii="Arial" w:cs="Arial" w:eastAsia="Arial" w:hAnsi="Arial"/>
                <w:sz w:val="17"/>
                <w:szCs w:val="17"/>
                <w:color w:val="auto"/>
              </w:rPr>
              <w:t>Basic</w:t>
            </w:r>
          </w:p>
        </w:tc>
        <w:tc>
          <w:tcPr>
            <w:tcW w:w="1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80" w:type="dxa"/>
            <w:vAlign w:val="bottom"/>
          </w:tcPr>
          <w:p>
            <w:pPr>
              <w:ind w:left="80"/>
              <w:spacing w:after="0" w:line="165" w:lineRule="exact"/>
              <w:rPr>
                <w:sz w:val="20"/>
                <w:szCs w:val="20"/>
                <w:color w:val="auto"/>
              </w:rPr>
            </w:pPr>
            <w:r>
              <w:rPr>
                <w:rFonts w:ascii="Arial" w:cs="Arial" w:eastAsia="Arial" w:hAnsi="Arial"/>
                <w:sz w:val="17"/>
                <w:szCs w:val="17"/>
                <w:color w:val="auto"/>
              </w:rPr>
              <w:t>Diluted</w:t>
            </w:r>
          </w:p>
        </w:tc>
        <w:tc>
          <w:tcPr>
            <w:tcW w:w="20" w:type="dxa"/>
            <w:vAlign w:val="bottom"/>
            <w:vMerge w:val="continue"/>
          </w:tcPr>
          <w:p>
            <w:pPr>
              <w:spacing w:after="0"/>
              <w:rPr>
                <w:sz w:val="14"/>
                <w:szCs w:val="14"/>
                <w:color w:val="auto"/>
              </w:rPr>
            </w:pPr>
          </w:p>
        </w:tc>
        <w:tc>
          <w:tcPr>
            <w:tcW w:w="160" w:type="dxa"/>
            <w:vAlign w:val="bottom"/>
            <w:tcBorders>
              <w:bottom w:val="single" w:sz="8" w:color="auto"/>
            </w:tcBorders>
          </w:tcPr>
          <w:p>
            <w:pPr>
              <w:jc w:val="right"/>
              <w:ind w:right="4"/>
              <w:spacing w:after="0" w:line="165"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93"/>
              <w:spacing w:after="0" w:line="165" w:lineRule="exact"/>
              <w:rPr>
                <w:sz w:val="20"/>
                <w:szCs w:val="20"/>
                <w:color w:val="auto"/>
              </w:rPr>
            </w:pPr>
            <w:r>
              <w:rPr>
                <w:rFonts w:ascii="Arial" w:cs="Arial" w:eastAsia="Arial" w:hAnsi="Arial"/>
                <w:sz w:val="17"/>
                <w:szCs w:val="17"/>
                <w:color w:val="auto"/>
              </w:rPr>
              <w:t>0.25</w:t>
            </w:r>
          </w:p>
        </w:tc>
        <w:tc>
          <w:tcPr>
            <w:tcW w:w="12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13"/>
              <w:spacing w:after="0" w:line="165" w:lineRule="exact"/>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ind w:right="93"/>
              <w:spacing w:after="0" w:line="165" w:lineRule="exact"/>
              <w:rPr>
                <w:sz w:val="20"/>
                <w:szCs w:val="20"/>
                <w:color w:val="auto"/>
              </w:rPr>
            </w:pPr>
            <w:r>
              <w:rPr>
                <w:rFonts w:ascii="Arial" w:cs="Arial" w:eastAsia="Arial" w:hAnsi="Arial"/>
                <w:sz w:val="17"/>
                <w:szCs w:val="17"/>
                <w:color w:val="auto"/>
              </w:rPr>
              <w:t>0.11</w:t>
            </w:r>
          </w:p>
        </w:tc>
        <w:tc>
          <w:tcPr>
            <w:tcW w:w="120" w:type="dxa"/>
            <w:vAlign w:val="bottom"/>
            <w:vMerge w:val="continue"/>
          </w:tcPr>
          <w:p>
            <w:pPr>
              <w:spacing w:after="0"/>
              <w:rPr>
                <w:sz w:val="14"/>
                <w:szCs w:val="14"/>
                <w:color w:val="auto"/>
              </w:rPr>
            </w:pPr>
          </w:p>
        </w:tc>
        <w:tc>
          <w:tcPr>
            <w:tcW w:w="16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93"/>
              <w:spacing w:after="0" w:line="165" w:lineRule="exact"/>
              <w:rPr>
                <w:sz w:val="20"/>
                <w:szCs w:val="20"/>
                <w:color w:val="auto"/>
              </w:rPr>
            </w:pPr>
            <w:r>
              <w:rPr>
                <w:rFonts w:ascii="Arial" w:cs="Arial" w:eastAsia="Arial" w:hAnsi="Arial"/>
                <w:sz w:val="17"/>
                <w:szCs w:val="17"/>
                <w:color w:val="auto"/>
              </w:rPr>
              <w:t>0.31</w:t>
            </w:r>
          </w:p>
        </w:tc>
        <w:tc>
          <w:tcPr>
            <w:tcW w:w="12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33"/>
              <w:spacing w:after="0" w:line="165"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73"/>
              <w:spacing w:after="0" w:line="165" w:lineRule="exact"/>
              <w:rPr>
                <w:sz w:val="20"/>
                <w:szCs w:val="20"/>
                <w:color w:val="auto"/>
              </w:rPr>
            </w:pPr>
            <w:r>
              <w:rPr>
                <w:rFonts w:ascii="Arial" w:cs="Arial" w:eastAsia="Arial" w:hAnsi="Arial"/>
                <w:sz w:val="17"/>
                <w:szCs w:val="17"/>
                <w:color w:val="auto"/>
              </w:rPr>
              <w:t>0.61</w:t>
            </w:r>
          </w:p>
        </w:tc>
        <w:tc>
          <w:tcPr>
            <w:tcW w:w="14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33"/>
              <w:spacing w:after="0" w:line="165"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93"/>
              <w:spacing w:after="0" w:line="165" w:lineRule="exact"/>
              <w:rPr>
                <w:sz w:val="20"/>
                <w:szCs w:val="20"/>
                <w:color w:val="auto"/>
              </w:rPr>
            </w:pPr>
            <w:r>
              <w:rPr>
                <w:rFonts w:ascii="Arial" w:cs="Arial" w:eastAsia="Arial" w:hAnsi="Arial"/>
                <w:sz w:val="17"/>
                <w:szCs w:val="17"/>
                <w:color w:val="auto"/>
              </w:rPr>
              <w:t>0.59</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7"/>
                <w:szCs w:val="17"/>
                <w:color w:val="auto"/>
              </w:rPr>
              <w:t>Weighted average shares outstanding:</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ind w:right="93"/>
              <w:spacing w:after="0"/>
              <w:rPr>
                <w:sz w:val="20"/>
                <w:szCs w:val="20"/>
                <w:color w:val="auto"/>
              </w:rPr>
            </w:pPr>
            <w:r>
              <w:rPr>
                <w:rFonts w:ascii="Arial" w:cs="Arial" w:eastAsia="Arial" w:hAnsi="Arial"/>
                <w:sz w:val="17"/>
                <w:szCs w:val="17"/>
                <w:color w:val="auto"/>
              </w:rPr>
              <w:t>357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ind w:right="93"/>
              <w:spacing w:after="0"/>
              <w:rPr>
                <w:sz w:val="20"/>
                <w:szCs w:val="20"/>
                <w:color w:val="auto"/>
              </w:rPr>
            </w:pPr>
            <w:r>
              <w:rPr>
                <w:rFonts w:ascii="Arial" w:cs="Arial" w:eastAsia="Arial" w:hAnsi="Arial"/>
                <w:sz w:val="17"/>
                <w:szCs w:val="17"/>
                <w:color w:val="auto"/>
              </w:rPr>
              <w:t>370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ind w:right="93"/>
              <w:spacing w:after="0"/>
              <w:rPr>
                <w:sz w:val="20"/>
                <w:szCs w:val="20"/>
                <w:color w:val="auto"/>
              </w:rPr>
            </w:pPr>
            <w:r>
              <w:rPr>
                <w:rFonts w:ascii="Arial" w:cs="Arial" w:eastAsia="Arial" w:hAnsi="Arial"/>
                <w:sz w:val="17"/>
                <w:szCs w:val="17"/>
                <w:color w:val="auto"/>
              </w:rPr>
              <w:t>359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73"/>
              <w:spacing w:after="0"/>
              <w:rPr>
                <w:sz w:val="20"/>
                <w:szCs w:val="20"/>
                <w:color w:val="auto"/>
              </w:rPr>
            </w:pPr>
            <w:r>
              <w:rPr>
                <w:rFonts w:ascii="Arial" w:cs="Arial" w:eastAsia="Arial" w:hAnsi="Arial"/>
                <w:sz w:val="17"/>
                <w:szCs w:val="17"/>
                <w:color w:val="auto"/>
              </w:rPr>
              <w:t>359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93"/>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173"/>
        </w:trPr>
        <w:tc>
          <w:tcPr>
            <w:tcW w:w="4580" w:type="dxa"/>
            <w:vAlign w:val="bottom"/>
          </w:tcPr>
          <w:p>
            <w:pPr>
              <w:ind w:left="80"/>
              <w:spacing w:after="0" w:line="153" w:lineRule="exact"/>
              <w:rPr>
                <w:sz w:val="20"/>
                <w:szCs w:val="20"/>
                <w:color w:val="auto"/>
              </w:rPr>
            </w:pPr>
            <w:r>
              <w:rPr>
                <w:rFonts w:ascii="Arial" w:cs="Arial" w:eastAsia="Arial" w:hAnsi="Arial"/>
                <w:sz w:val="17"/>
                <w:szCs w:val="17"/>
                <w:color w:val="auto"/>
              </w:rPr>
              <w:t>Basic</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80" w:type="dxa"/>
            <w:vAlign w:val="bottom"/>
          </w:tcPr>
          <w:p>
            <w:pPr>
              <w:ind w:left="80"/>
              <w:spacing w:after="0" w:line="165" w:lineRule="exact"/>
              <w:rPr>
                <w:sz w:val="20"/>
                <w:szCs w:val="20"/>
                <w:color w:val="auto"/>
              </w:rPr>
            </w:pPr>
            <w:r>
              <w:rPr>
                <w:rFonts w:ascii="Arial" w:cs="Arial" w:eastAsia="Arial" w:hAnsi="Arial"/>
                <w:sz w:val="17"/>
                <w:szCs w:val="17"/>
                <w:color w:val="auto"/>
              </w:rPr>
              <w:t>Diluted</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3"/>
              <w:spacing w:after="0" w:line="165" w:lineRule="exact"/>
              <w:rPr>
                <w:sz w:val="20"/>
                <w:szCs w:val="20"/>
                <w:color w:val="auto"/>
              </w:rPr>
            </w:pPr>
            <w:r>
              <w:rPr>
                <w:rFonts w:ascii="Arial" w:cs="Arial" w:eastAsia="Arial" w:hAnsi="Arial"/>
                <w:sz w:val="17"/>
                <w:szCs w:val="17"/>
                <w:color w:val="auto"/>
              </w:rPr>
              <w:t>360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3"/>
              <w:spacing w:after="0" w:line="165" w:lineRule="exact"/>
              <w:rPr>
                <w:sz w:val="20"/>
                <w:szCs w:val="20"/>
                <w:color w:val="auto"/>
              </w:rPr>
            </w:pPr>
            <w:r>
              <w:rPr>
                <w:rFonts w:ascii="Arial" w:cs="Arial" w:eastAsia="Arial" w:hAnsi="Arial"/>
                <w:sz w:val="17"/>
                <w:szCs w:val="17"/>
                <w:color w:val="auto"/>
              </w:rPr>
              <w:t>371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3"/>
              <w:spacing w:after="0" w:line="165" w:lineRule="exact"/>
              <w:rPr>
                <w:sz w:val="20"/>
                <w:szCs w:val="20"/>
                <w:color w:val="auto"/>
              </w:rPr>
            </w:pPr>
            <w:r>
              <w:rPr>
                <w:rFonts w:ascii="Arial" w:cs="Arial" w:eastAsia="Arial" w:hAnsi="Arial"/>
                <w:sz w:val="17"/>
                <w:szCs w:val="17"/>
                <w:color w:val="auto"/>
              </w:rPr>
              <w:t>362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3"/>
              <w:spacing w:after="0" w:line="165" w:lineRule="exact"/>
              <w:rPr>
                <w:sz w:val="20"/>
                <w:szCs w:val="20"/>
                <w:color w:val="auto"/>
              </w:rPr>
            </w:pPr>
            <w:r>
              <w:rPr>
                <w:rFonts w:ascii="Arial" w:cs="Arial" w:eastAsia="Arial" w:hAnsi="Arial"/>
                <w:sz w:val="17"/>
                <w:szCs w:val="17"/>
                <w:color w:val="auto"/>
              </w:rPr>
              <w:t>363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3"/>
              <w:spacing w:after="0" w:line="165" w:lineRule="exact"/>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896" w:right="45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9"/>
          <w:szCs w:val="19"/>
          <w:b w:val="1"/>
          <w:bCs w:val="1"/>
          <w:color w:val="auto"/>
        </w:rPr>
        <w:t>NOV INC.</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CONSOLIDATED BALANCE SHEETS (Unaudited)</w:t>
      </w:r>
    </w:p>
    <w:p>
      <w:pPr>
        <w:jc w:val="center"/>
        <w:ind w:right="-99"/>
        <w:spacing w:after="0"/>
        <w:rPr>
          <w:sz w:val="20"/>
          <w:szCs w:val="20"/>
          <w:color w:val="auto"/>
        </w:rPr>
      </w:pPr>
      <w:r>
        <w:rPr>
          <w:rFonts w:ascii="Arial" w:cs="Arial" w:eastAsia="Arial" w:hAnsi="Arial"/>
          <w:sz w:val="19"/>
          <w:szCs w:val="19"/>
          <w:b w:val="1"/>
          <w:bCs w:val="1"/>
          <w:color w:val="auto"/>
        </w:rPr>
        <w:t>(In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73"/>
              <w:spacing w:after="0"/>
              <w:rPr>
                <w:sz w:val="20"/>
                <w:szCs w:val="20"/>
                <w:color w:val="auto"/>
              </w:rPr>
            </w:pPr>
            <w:r>
              <w:rPr>
                <w:rFonts w:ascii="Arial" w:cs="Arial" w:eastAsia="Arial" w:hAnsi="Arial"/>
                <w:sz w:val="17"/>
                <w:szCs w:val="17"/>
                <w:color w:val="auto"/>
              </w:rPr>
              <w:t>September 30,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153"/>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08"/>
        </w:trPr>
        <w:tc>
          <w:tcPr>
            <w:tcW w:w="776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color w:val="auto"/>
              </w:rPr>
              <w:t>2026</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162"/>
        </w:trPr>
        <w:tc>
          <w:tcPr>
            <w:tcW w:w="7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73"/>
              <w:spacing w:after="0" w:line="162" w:lineRule="exact"/>
              <w:rPr>
                <w:sz w:val="20"/>
                <w:szCs w:val="20"/>
                <w:color w:val="auto"/>
              </w:rPr>
            </w:pPr>
            <w:r>
              <w:rPr>
                <w:rFonts w:ascii="Arial" w:cs="Arial" w:eastAsia="Arial" w:hAnsi="Arial"/>
                <w:sz w:val="17"/>
                <w:szCs w:val="17"/>
                <w:color w:val="auto"/>
              </w:rPr>
              <w:t>(Unaudited)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line="189" w:lineRule="exact"/>
              <w:rPr>
                <w:sz w:val="20"/>
                <w:szCs w:val="20"/>
                <w:color w:val="auto"/>
              </w:rPr>
            </w:pPr>
            <w:r>
              <w:rPr>
                <w:rFonts w:ascii="Arial" w:cs="Arial" w:eastAsia="Arial" w:hAnsi="Arial"/>
                <w:sz w:val="17"/>
                <w:szCs w:val="17"/>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1,058</w:t>
            </w:r>
          </w:p>
        </w:tc>
        <w:tc>
          <w:tcPr>
            <w:tcW w:w="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1,552</w:t>
            </w: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line="189" w:lineRule="exact"/>
              <w:rPr>
                <w:sz w:val="20"/>
                <w:szCs w:val="20"/>
                <w:color w:val="auto"/>
              </w:rPr>
            </w:pPr>
            <w:r>
              <w:rPr>
                <w:rFonts w:ascii="Arial" w:cs="Arial" w:eastAsia="Arial" w:hAnsi="Arial"/>
                <w:sz w:val="17"/>
                <w:szCs w:val="17"/>
                <w:color w:val="auto"/>
              </w:rPr>
              <w:t>Receivables, net</w:t>
            </w:r>
          </w:p>
        </w:tc>
        <w:tc>
          <w:tcPr>
            <w:tcW w:w="1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1,835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1,701</w:t>
            </w: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line="189" w:lineRule="exact"/>
              <w:rPr>
                <w:sz w:val="20"/>
                <w:szCs w:val="20"/>
                <w:color w:val="auto"/>
              </w:rPr>
            </w:pPr>
            <w:r>
              <w:rPr>
                <w:rFonts w:ascii="Arial" w:cs="Arial" w:eastAsia="Arial" w:hAnsi="Arial"/>
                <w:sz w:val="17"/>
                <w:szCs w:val="17"/>
                <w:color w:val="auto"/>
              </w:rPr>
              <w:t>Inventories, net</w:t>
            </w:r>
          </w:p>
        </w:tc>
        <w:tc>
          <w:tcPr>
            <w:tcW w:w="1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1,956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1,799</w:t>
            </w: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line="189" w:lineRule="exact"/>
              <w:rPr>
                <w:sz w:val="20"/>
                <w:szCs w:val="20"/>
                <w:color w:val="auto"/>
              </w:rPr>
            </w:pPr>
            <w:r>
              <w:rPr>
                <w:rFonts w:ascii="Arial" w:cs="Arial" w:eastAsia="Arial" w:hAnsi="Arial"/>
                <w:sz w:val="17"/>
                <w:szCs w:val="17"/>
                <w:color w:val="auto"/>
              </w:rPr>
              <w:t>Contract assets</w:t>
            </w:r>
          </w:p>
        </w:tc>
        <w:tc>
          <w:tcPr>
            <w:tcW w:w="1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736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08"/>
        </w:trPr>
        <w:tc>
          <w:tcPr>
            <w:tcW w:w="7760" w:type="dxa"/>
            <w:vAlign w:val="bottom"/>
          </w:tcPr>
          <w:p>
            <w:pPr>
              <w:ind w:left="140"/>
              <w:spacing w:after="0"/>
              <w:rPr>
                <w:sz w:val="20"/>
                <w:szCs w:val="20"/>
                <w:color w:val="auto"/>
              </w:rPr>
            </w:pPr>
            <w:r>
              <w:rPr>
                <w:rFonts w:ascii="Arial" w:cs="Arial" w:eastAsia="Arial" w:hAnsi="Arial"/>
                <w:sz w:val="17"/>
                <w:szCs w:val="17"/>
                <w:color w:val="auto"/>
              </w:rPr>
              <w:t>Prepaid and other 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21"/>
        </w:trPr>
        <w:tc>
          <w:tcPr>
            <w:tcW w:w="7760" w:type="dxa"/>
            <w:vAlign w:val="bottom"/>
          </w:tcPr>
          <w:p>
            <w:pPr>
              <w:ind w:left="28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5,811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5,820</w:t>
            </w:r>
          </w:p>
        </w:tc>
        <w:tc>
          <w:tcPr>
            <w:tcW w:w="0" w:type="dxa"/>
            <w:vAlign w:val="bottom"/>
          </w:tcPr>
          <w:p>
            <w:pPr>
              <w:spacing w:after="0"/>
              <w:rPr>
                <w:sz w:val="1"/>
                <w:szCs w:val="1"/>
                <w:color w:val="auto"/>
              </w:rPr>
            </w:pPr>
          </w:p>
        </w:tc>
      </w:tr>
      <w:tr>
        <w:trPr>
          <w:trHeight w:val="320"/>
        </w:trPr>
        <w:tc>
          <w:tcPr>
            <w:tcW w:w="776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1,993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2,050</w:t>
            </w:r>
          </w:p>
        </w:tc>
        <w:tc>
          <w:tcPr>
            <w:tcW w:w="0" w:type="dxa"/>
            <w:vAlign w:val="bottom"/>
          </w:tcPr>
          <w:p>
            <w:pPr>
              <w:spacing w:after="0"/>
              <w:rPr>
                <w:sz w:val="1"/>
                <w:szCs w:val="1"/>
                <w:color w:val="auto"/>
              </w:rPr>
            </w:pPr>
          </w:p>
        </w:tc>
      </w:tr>
      <w:tr>
        <w:trPr>
          <w:trHeight w:val="189"/>
        </w:trPr>
        <w:tc>
          <w:tcPr>
            <w:tcW w:w="7760" w:type="dxa"/>
            <w:vAlign w:val="bottom"/>
          </w:tcPr>
          <w:p>
            <w:pPr>
              <w:spacing w:after="0" w:line="189" w:lineRule="exact"/>
              <w:rPr>
                <w:sz w:val="20"/>
                <w:szCs w:val="20"/>
                <w:color w:val="auto"/>
              </w:rPr>
            </w:pPr>
            <w:r>
              <w:rPr>
                <w:rFonts w:ascii="Arial" w:cs="Arial" w:eastAsia="Arial" w:hAnsi="Arial"/>
                <w:sz w:val="17"/>
                <w:szCs w:val="17"/>
                <w:color w:val="auto"/>
              </w:rPr>
              <w:t>Lease right-of-use assets</w:t>
            </w:r>
          </w:p>
        </w:tc>
        <w:tc>
          <w:tcPr>
            <w:tcW w:w="1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493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189"/>
        </w:trPr>
        <w:tc>
          <w:tcPr>
            <w:tcW w:w="7760" w:type="dxa"/>
            <w:vAlign w:val="bottom"/>
          </w:tcPr>
          <w:p>
            <w:pPr>
              <w:spacing w:after="0" w:line="189" w:lineRule="exact"/>
              <w:rPr>
                <w:sz w:val="20"/>
                <w:szCs w:val="20"/>
                <w:color w:val="auto"/>
              </w:rPr>
            </w:pPr>
            <w:r>
              <w:rPr>
                <w:rFonts w:ascii="Arial" w:cs="Arial" w:eastAsia="Arial" w:hAnsi="Arial"/>
                <w:sz w:val="17"/>
                <w:szCs w:val="17"/>
                <w:color w:val="auto"/>
              </w:rPr>
              <w:t>Goodwill and intangibles, net</w:t>
            </w:r>
          </w:p>
        </w:tc>
        <w:tc>
          <w:tcPr>
            <w:tcW w:w="1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2,016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2,037</w:t>
            </w:r>
          </w:p>
        </w:tc>
        <w:tc>
          <w:tcPr>
            <w:tcW w:w="0" w:type="dxa"/>
            <w:vAlign w:val="bottom"/>
          </w:tcPr>
          <w:p>
            <w:pPr>
              <w:spacing w:after="0"/>
              <w:rPr>
                <w:sz w:val="1"/>
                <w:szCs w:val="1"/>
                <w:color w:val="auto"/>
              </w:rPr>
            </w:pPr>
          </w:p>
        </w:tc>
      </w:tr>
      <w:tr>
        <w:trPr>
          <w:trHeight w:val="208"/>
        </w:trPr>
        <w:tc>
          <w:tcPr>
            <w:tcW w:w="7760" w:type="dxa"/>
            <w:vAlign w:val="bottom"/>
          </w:tcPr>
          <w:p>
            <w:pPr>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w:t>
            </w:r>
          </w:p>
        </w:tc>
        <w:tc>
          <w:tcPr>
            <w:tcW w:w="0" w:type="dxa"/>
            <w:vAlign w:val="bottom"/>
          </w:tcPr>
          <w:p>
            <w:pPr>
              <w:spacing w:after="0"/>
              <w:rPr>
                <w:sz w:val="1"/>
                <w:szCs w:val="1"/>
                <w:color w:val="auto"/>
              </w:rPr>
            </w:pPr>
          </w:p>
        </w:tc>
      </w:tr>
      <w:tr>
        <w:trPr>
          <w:trHeight w:val="181"/>
        </w:trPr>
        <w:tc>
          <w:tcPr>
            <w:tcW w:w="7760" w:type="dxa"/>
            <w:vAlign w:val="bottom"/>
          </w:tcPr>
          <w:p>
            <w:pPr>
              <w:ind w:left="280"/>
              <w:spacing w:after="0" w:line="169" w:lineRule="exact"/>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11,224</w:t>
            </w:r>
          </w:p>
        </w:tc>
        <w:tc>
          <w:tcPr>
            <w:tcW w:w="2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11,291</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7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line="189" w:lineRule="exact"/>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line="189" w:lineRule="exact"/>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858</w:t>
            </w:r>
          </w:p>
        </w:tc>
        <w:tc>
          <w:tcPr>
            <w:tcW w:w="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line="189" w:lineRule="exact"/>
              <w:rPr>
                <w:sz w:val="20"/>
                <w:szCs w:val="20"/>
                <w:color w:val="auto"/>
              </w:rPr>
            </w:pPr>
            <w:r>
              <w:rPr>
                <w:rFonts w:ascii="Arial" w:cs="Arial" w:eastAsia="Arial" w:hAnsi="Arial"/>
                <w:sz w:val="17"/>
                <w:szCs w:val="17"/>
                <w:color w:val="auto"/>
              </w:rPr>
              <w:t>Accrued liabilities</w:t>
            </w:r>
          </w:p>
        </w:tc>
        <w:tc>
          <w:tcPr>
            <w:tcW w:w="1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825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line="189" w:lineRule="exact"/>
              <w:rPr>
                <w:sz w:val="20"/>
                <w:szCs w:val="20"/>
                <w:color w:val="auto"/>
              </w:rPr>
            </w:pPr>
            <w:r>
              <w:rPr>
                <w:rFonts w:ascii="Arial" w:cs="Arial" w:eastAsia="Arial" w:hAnsi="Arial"/>
                <w:sz w:val="17"/>
                <w:szCs w:val="17"/>
                <w:color w:val="auto"/>
              </w:rPr>
              <w:t>Contract liabilities</w:t>
            </w:r>
          </w:p>
        </w:tc>
        <w:tc>
          <w:tcPr>
            <w:tcW w:w="1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515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line="189" w:lineRule="exact"/>
              <w:rPr>
                <w:sz w:val="20"/>
                <w:szCs w:val="20"/>
                <w:color w:val="auto"/>
              </w:rPr>
            </w:pPr>
            <w:r>
              <w:rPr>
                <w:rFonts w:ascii="Arial" w:cs="Arial" w:eastAsia="Arial" w:hAnsi="Arial"/>
                <w:sz w:val="17"/>
                <w:szCs w:val="17"/>
                <w:color w:val="auto"/>
              </w:rPr>
              <w:t>Current portion of lease liabilities</w:t>
            </w:r>
          </w:p>
        </w:tc>
        <w:tc>
          <w:tcPr>
            <w:tcW w:w="1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99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line="189" w:lineRule="exact"/>
              <w:rPr>
                <w:sz w:val="20"/>
                <w:szCs w:val="20"/>
                <w:color w:val="auto"/>
              </w:rPr>
            </w:pPr>
            <w:r>
              <w:rPr>
                <w:rFonts w:ascii="Arial" w:cs="Arial" w:eastAsia="Arial" w:hAnsi="Arial"/>
                <w:sz w:val="17"/>
                <w:szCs w:val="17"/>
                <w:color w:val="auto"/>
              </w:rPr>
              <w:t>Current portion of long-term debt</w:t>
            </w:r>
          </w:p>
        </w:tc>
        <w:tc>
          <w:tcPr>
            <w:tcW w:w="1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8"/>
        </w:trPr>
        <w:tc>
          <w:tcPr>
            <w:tcW w:w="7760" w:type="dxa"/>
            <w:vAlign w:val="bottom"/>
          </w:tcPr>
          <w:p>
            <w:pPr>
              <w:ind w:left="140"/>
              <w:spacing w:after="0"/>
              <w:rPr>
                <w:sz w:val="20"/>
                <w:szCs w:val="20"/>
                <w:color w:val="auto"/>
              </w:rPr>
            </w:pPr>
            <w:r>
              <w:rPr>
                <w:rFonts w:ascii="Arial" w:cs="Arial" w:eastAsia="Arial" w:hAnsi="Arial"/>
                <w:sz w:val="17"/>
                <w:szCs w:val="17"/>
                <w:color w:val="auto"/>
              </w:rPr>
              <w:t>Accrued income taxes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1"/>
        </w:trPr>
        <w:tc>
          <w:tcPr>
            <w:tcW w:w="7760" w:type="dxa"/>
            <w:vAlign w:val="bottom"/>
          </w:tcPr>
          <w:p>
            <w:pPr>
              <w:ind w:left="28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2,317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2,406</w:t>
            </w:r>
          </w:p>
        </w:tc>
        <w:tc>
          <w:tcPr>
            <w:tcW w:w="0" w:type="dxa"/>
            <w:vAlign w:val="bottom"/>
          </w:tcPr>
          <w:p>
            <w:pPr>
              <w:spacing w:after="0"/>
              <w:rPr>
                <w:sz w:val="1"/>
                <w:szCs w:val="1"/>
                <w:color w:val="auto"/>
              </w:rPr>
            </w:pPr>
          </w:p>
        </w:tc>
      </w:tr>
      <w:tr>
        <w:trPr>
          <w:trHeight w:val="320"/>
        </w:trPr>
        <w:tc>
          <w:tcPr>
            <w:tcW w:w="7760" w:type="dxa"/>
            <w:vAlign w:val="bottom"/>
          </w:tcPr>
          <w:p>
            <w:pPr>
              <w:spacing w:after="0"/>
              <w:rPr>
                <w:sz w:val="20"/>
                <w:szCs w:val="20"/>
                <w:color w:val="auto"/>
              </w:rPr>
            </w:pPr>
            <w:r>
              <w:rPr>
                <w:rFonts w:ascii="Arial" w:cs="Arial" w:eastAsia="Arial" w:hAnsi="Arial"/>
                <w:sz w:val="17"/>
                <w:szCs w:val="17"/>
                <w:color w:val="auto"/>
              </w:rPr>
              <w:t>Long-term debt</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1,694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1,688</w:t>
            </w:r>
          </w:p>
        </w:tc>
        <w:tc>
          <w:tcPr>
            <w:tcW w:w="0" w:type="dxa"/>
            <w:vAlign w:val="bottom"/>
          </w:tcPr>
          <w:p>
            <w:pPr>
              <w:spacing w:after="0"/>
              <w:rPr>
                <w:sz w:val="1"/>
                <w:szCs w:val="1"/>
                <w:color w:val="auto"/>
              </w:rPr>
            </w:pPr>
          </w:p>
        </w:tc>
      </w:tr>
      <w:tr>
        <w:trPr>
          <w:trHeight w:val="189"/>
        </w:trPr>
        <w:tc>
          <w:tcPr>
            <w:tcW w:w="7760" w:type="dxa"/>
            <w:vAlign w:val="bottom"/>
          </w:tcPr>
          <w:p>
            <w:pPr>
              <w:spacing w:after="0" w:line="189" w:lineRule="exact"/>
              <w:rPr>
                <w:sz w:val="20"/>
                <w:szCs w:val="20"/>
                <w:color w:val="auto"/>
              </w:rPr>
            </w:pPr>
            <w:r>
              <w:rPr>
                <w:rFonts w:ascii="Arial" w:cs="Arial" w:eastAsia="Arial" w:hAnsi="Arial"/>
                <w:sz w:val="17"/>
                <w:szCs w:val="17"/>
                <w:color w:val="auto"/>
              </w:rPr>
              <w:t>Lease liabilities</w:t>
            </w:r>
          </w:p>
        </w:tc>
        <w:tc>
          <w:tcPr>
            <w:tcW w:w="1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513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208"/>
        </w:trPr>
        <w:tc>
          <w:tcPr>
            <w:tcW w:w="7760" w:type="dxa"/>
            <w:vAlign w:val="bottom"/>
          </w:tcPr>
          <w:p>
            <w:pPr>
              <w:spacing w:after="0"/>
              <w:rPr>
                <w:sz w:val="20"/>
                <w:szCs w:val="20"/>
                <w:color w:val="auto"/>
              </w:rPr>
            </w:pPr>
            <w:r>
              <w:rPr>
                <w:rFonts w:ascii="Arial" w:cs="Arial" w:eastAsia="Arial" w:hAnsi="Arial"/>
                <w:sz w:val="17"/>
                <w:szCs w:val="17"/>
                <w:color w:val="auto"/>
              </w:rPr>
              <w:t>Other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0" w:type="dxa"/>
            <w:vAlign w:val="bottom"/>
          </w:tcPr>
          <w:p>
            <w:pPr>
              <w:spacing w:after="0"/>
              <w:rPr>
                <w:sz w:val="1"/>
                <w:szCs w:val="1"/>
                <w:color w:val="auto"/>
              </w:rPr>
            </w:pPr>
          </w:p>
        </w:tc>
      </w:tr>
      <w:tr>
        <w:trPr>
          <w:trHeight w:val="221"/>
        </w:trPr>
        <w:tc>
          <w:tcPr>
            <w:tcW w:w="7760" w:type="dxa"/>
            <w:vAlign w:val="bottom"/>
          </w:tcPr>
          <w:p>
            <w:pPr>
              <w:ind w:left="28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4,916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4,969</w:t>
            </w:r>
          </w:p>
        </w:tc>
        <w:tc>
          <w:tcPr>
            <w:tcW w:w="0" w:type="dxa"/>
            <w:vAlign w:val="bottom"/>
          </w:tcPr>
          <w:p>
            <w:pPr>
              <w:spacing w:after="0"/>
              <w:rPr>
                <w:sz w:val="1"/>
                <w:szCs w:val="1"/>
                <w:color w:val="auto"/>
              </w:rPr>
            </w:pPr>
          </w:p>
        </w:tc>
      </w:tr>
      <w:tr>
        <w:trPr>
          <w:trHeight w:val="339"/>
        </w:trPr>
        <w:tc>
          <w:tcPr>
            <w:tcW w:w="7760" w:type="dxa"/>
            <w:vAlign w:val="bottom"/>
          </w:tcPr>
          <w:p>
            <w:pPr>
              <w:ind w:left="280"/>
              <w:spacing w:after="0"/>
              <w:rPr>
                <w:sz w:val="20"/>
                <w:szCs w:val="20"/>
                <w:color w:val="auto"/>
              </w:rPr>
            </w:pPr>
            <w:r>
              <w:rPr>
                <w:rFonts w:ascii="Arial" w:cs="Arial" w:eastAsia="Arial" w:hAnsi="Arial"/>
                <w:sz w:val="17"/>
                <w:szCs w:val="17"/>
                <w:color w:val="auto"/>
              </w:rPr>
              <w:t>Total stockholders’ equity</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6,308</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6,322</w:t>
            </w:r>
          </w:p>
        </w:tc>
        <w:tc>
          <w:tcPr>
            <w:tcW w:w="0" w:type="dxa"/>
            <w:vAlign w:val="bottom"/>
          </w:tcPr>
          <w:p>
            <w:pPr>
              <w:spacing w:after="0"/>
              <w:rPr>
                <w:sz w:val="1"/>
                <w:szCs w:val="1"/>
                <w:color w:val="auto"/>
              </w:rPr>
            </w:pPr>
          </w:p>
        </w:tc>
      </w:tr>
      <w:tr>
        <w:trPr>
          <w:trHeight w:val="181"/>
        </w:trPr>
        <w:tc>
          <w:tcPr>
            <w:tcW w:w="7760" w:type="dxa"/>
            <w:vAlign w:val="bottom"/>
          </w:tcPr>
          <w:p>
            <w:pPr>
              <w:ind w:left="280"/>
              <w:spacing w:after="0" w:line="169" w:lineRule="exact"/>
              <w:rPr>
                <w:sz w:val="20"/>
                <w:szCs w:val="20"/>
                <w:color w:val="auto"/>
              </w:rPr>
            </w:pPr>
            <w:r>
              <w:rPr>
                <w:rFonts w:ascii="Arial" w:cs="Arial" w:eastAsia="Arial" w:hAnsi="Arial"/>
                <w:sz w:val="17"/>
                <w:szCs w:val="17"/>
                <w:color w:val="auto"/>
              </w:rPr>
              <w:t>Total liabilities and stockholders’ equity</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11,224</w:t>
            </w:r>
          </w:p>
        </w:tc>
        <w:tc>
          <w:tcPr>
            <w:tcW w:w="2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11,291</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896" w:right="439" w:bottom="1440" w:gutter="0" w:footer="0" w:header="0"/>
        </w:sectPr>
      </w:pPr>
    </w:p>
    <w:bookmarkStart w:id="11" w:name="page12"/>
    <w:bookmarkEnd w:id="11"/>
    <w:p>
      <w:pPr>
        <w:jc w:val="center"/>
        <w:spacing w:after="0"/>
        <w:rPr>
          <w:sz w:val="20"/>
          <w:szCs w:val="20"/>
          <w:color w:val="auto"/>
        </w:rPr>
      </w:pPr>
      <w:r>
        <w:rPr>
          <w:rFonts w:ascii="Arial" w:cs="Arial" w:eastAsia="Arial" w:hAnsi="Arial"/>
          <w:sz w:val="19"/>
          <w:szCs w:val="19"/>
          <w:b w:val="1"/>
          <w:bCs w:val="1"/>
          <w:color w:val="auto"/>
        </w:rPr>
        <w:t>NOV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CASH FLOWS (Unaudited)</w:t>
      </w:r>
    </w:p>
    <w:p>
      <w:pPr>
        <w:jc w:val="center"/>
        <w:spacing w:after="0"/>
        <w:rPr>
          <w:sz w:val="20"/>
          <w:szCs w:val="20"/>
          <w:color w:val="auto"/>
        </w:rPr>
      </w:pPr>
      <w:r>
        <w:rPr>
          <w:rFonts w:ascii="Arial" w:cs="Arial" w:eastAsia="Arial" w:hAnsi="Arial"/>
          <w:sz w:val="19"/>
          <w:szCs w:val="19"/>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820" w:type="dxa"/>
            <w:vAlign w:val="bottom"/>
            <w:gridSpan w:val="3"/>
          </w:tcPr>
          <w:p>
            <w:pPr>
              <w:jc w:val="center"/>
              <w:ind w:right="160"/>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ind w:right="80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08"/>
        </w:trPr>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7"/>
                <w:szCs w:val="17"/>
                <w:color w:val="auto"/>
              </w:rPr>
              <w:t>September 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Arial" w:cs="Arial" w:eastAsia="Arial" w:hAnsi="Arial"/>
                <w:sz w:val="17"/>
                <w:szCs w:val="17"/>
                <w:color w:val="auto"/>
              </w:rPr>
              <w:t>September 30,</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180" w:type="dxa"/>
            <w:vAlign w:val="bottom"/>
            <w:vMerge w:val="restart"/>
          </w:tcPr>
          <w:p>
            <w:pPr>
              <w:spacing w:after="0"/>
              <w:rPr>
                <w:sz w:val="20"/>
                <w:szCs w:val="20"/>
                <w:color w:val="auto"/>
              </w:rPr>
            </w:pPr>
            <w:r>
              <w:rPr>
                <w:rFonts w:ascii="Arial" w:cs="Arial" w:eastAsia="Arial" w:hAnsi="Arial"/>
                <w:sz w:val="17"/>
                <w:szCs w:val="17"/>
                <w:color w:val="auto"/>
              </w:rPr>
              <w:t>Cash flows from operating activities:</w:t>
            </w:r>
          </w:p>
        </w:tc>
        <w:tc>
          <w:tcPr>
            <w:tcW w:w="18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center"/>
              <w:ind w:right="113"/>
              <w:spacing w:after="0" w:line="181" w:lineRule="exact"/>
              <w:rPr>
                <w:sz w:val="20"/>
                <w:szCs w:val="20"/>
                <w:color w:val="auto"/>
              </w:rPr>
            </w:pPr>
            <w:r>
              <w:rPr>
                <w:rFonts w:ascii="Arial" w:cs="Arial" w:eastAsia="Arial" w:hAnsi="Arial"/>
                <w:sz w:val="17"/>
                <w:szCs w:val="17"/>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13"/>
              <w:spacing w:after="0" w:line="181" w:lineRule="exact"/>
              <w:rPr>
                <w:sz w:val="20"/>
                <w:szCs w:val="20"/>
                <w:color w:val="auto"/>
              </w:rPr>
            </w:pPr>
            <w:r>
              <w:rPr>
                <w:rFonts w:ascii="Arial" w:cs="Arial" w:eastAsia="Arial" w:hAnsi="Arial"/>
                <w:sz w:val="17"/>
                <w:szCs w:val="17"/>
                <w:color w:val="auto"/>
              </w:rPr>
              <w:t>2026</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13"/>
              <w:spacing w:after="0" w:line="181" w:lineRule="exact"/>
              <w:rPr>
                <w:sz w:val="20"/>
                <w:szCs w:val="20"/>
                <w:color w:val="auto"/>
              </w:rPr>
            </w:pPr>
            <w:r>
              <w:rPr>
                <w:rFonts w:ascii="Arial" w:cs="Arial" w:eastAsia="Arial" w:hAnsi="Arial"/>
                <w:sz w:val="17"/>
                <w:szCs w:val="17"/>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60"/>
              <w:spacing w:after="0" w:line="189" w:lineRule="exact"/>
              <w:rPr>
                <w:sz w:val="20"/>
                <w:szCs w:val="20"/>
                <w:color w:val="auto"/>
              </w:rPr>
            </w:pPr>
            <w:r>
              <w:rPr>
                <w:rFonts w:ascii="Arial" w:cs="Arial" w:eastAsia="Arial" w:hAnsi="Arial"/>
                <w:sz w:val="17"/>
                <w:szCs w:val="17"/>
                <w:color w:val="auto"/>
              </w:rPr>
              <w:t>Net income</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95</w:t>
            </w:r>
          </w:p>
        </w:tc>
        <w:tc>
          <w:tcPr>
            <w:tcW w:w="140" w:type="dxa"/>
            <w:vAlign w:val="bottom"/>
          </w:tcPr>
          <w:p>
            <w:pPr>
              <w:spacing w:after="0"/>
              <w:rPr>
                <w:sz w:val="16"/>
                <w:szCs w:val="16"/>
                <w:color w:val="auto"/>
              </w:rPr>
            </w:pPr>
          </w:p>
        </w:tc>
        <w:tc>
          <w:tcPr>
            <w:tcW w:w="380" w:type="dxa"/>
            <w:vAlign w:val="bottom"/>
            <w:gridSpan w:val="2"/>
          </w:tcPr>
          <w:p>
            <w:pPr>
              <w:jc w:val="right"/>
              <w:ind w:right="124"/>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231</w:t>
            </w:r>
          </w:p>
        </w:tc>
        <w:tc>
          <w:tcPr>
            <w:tcW w:w="140" w:type="dxa"/>
            <w:vAlign w:val="bottom"/>
          </w:tcPr>
          <w:p>
            <w:pPr>
              <w:spacing w:after="0"/>
              <w:rPr>
                <w:sz w:val="16"/>
                <w:szCs w:val="16"/>
                <w:color w:val="auto"/>
              </w:rPr>
            </w:pPr>
          </w:p>
        </w:tc>
        <w:tc>
          <w:tcPr>
            <w:tcW w:w="560" w:type="dxa"/>
            <w:vAlign w:val="bottom"/>
            <w:gridSpan w:val="2"/>
          </w:tcPr>
          <w:p>
            <w:pPr>
              <w:jc w:val="right"/>
              <w:ind w:right="304"/>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60"/>
              <w:spacing w:after="0" w:line="189" w:lineRule="exact"/>
              <w:rPr>
                <w:sz w:val="20"/>
                <w:szCs w:val="20"/>
                <w:color w:val="auto"/>
              </w:rPr>
            </w:pPr>
            <w:r>
              <w:rPr>
                <w:rFonts w:ascii="Arial" w:cs="Arial" w:eastAsia="Arial" w:hAnsi="Arial"/>
                <w:sz w:val="17"/>
                <w:szCs w:val="17"/>
                <w:color w:val="auto"/>
              </w:rPr>
              <w:t>Adjustments to reconcile net income to net cash provided by operating</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20"/>
              <w:spacing w:after="0" w:line="189" w:lineRule="exact"/>
              <w:rPr>
                <w:sz w:val="20"/>
                <w:szCs w:val="20"/>
                <w:color w:val="auto"/>
              </w:rPr>
            </w:pPr>
            <w:r>
              <w:rPr>
                <w:rFonts w:ascii="Arial" w:cs="Arial" w:eastAsia="Arial" w:hAnsi="Arial"/>
                <w:sz w:val="17"/>
                <w:szCs w:val="17"/>
                <w:color w:val="auto"/>
              </w:rPr>
              <w:t>activities: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180"/>
              <w:spacing w:after="0" w:line="189" w:lineRule="exact"/>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278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180"/>
              <w:spacing w:after="0" w:line="189" w:lineRule="exact"/>
              <w:rPr>
                <w:sz w:val="20"/>
                <w:szCs w:val="20"/>
                <w:color w:val="auto"/>
              </w:rPr>
            </w:pPr>
            <w:r>
              <w:rPr>
                <w:rFonts w:ascii="Arial" w:cs="Arial" w:eastAsia="Arial" w:hAnsi="Arial"/>
                <w:sz w:val="17"/>
                <w:szCs w:val="17"/>
                <w:color w:val="auto"/>
              </w:rPr>
              <w:t>Working capital, net</w:t>
            </w:r>
          </w:p>
        </w:tc>
        <w:tc>
          <w:tcPr>
            <w:tcW w:w="180" w:type="dxa"/>
            <w:vAlign w:val="bottom"/>
          </w:tcPr>
          <w:p>
            <w:pPr>
              <w:spacing w:after="0"/>
              <w:rPr>
                <w:sz w:val="16"/>
                <w:szCs w:val="16"/>
                <w:color w:val="auto"/>
              </w:rPr>
            </w:pPr>
          </w:p>
        </w:tc>
        <w:tc>
          <w:tcPr>
            <w:tcW w:w="16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(646)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8"/>
        </w:trPr>
        <w:tc>
          <w:tcPr>
            <w:tcW w:w="6180" w:type="dxa"/>
            <w:vAlign w:val="bottom"/>
          </w:tcPr>
          <w:p>
            <w:pPr>
              <w:ind w:left="180"/>
              <w:spacing w:after="0"/>
              <w:rPr>
                <w:sz w:val="20"/>
                <w:szCs w:val="20"/>
                <w:color w:val="auto"/>
              </w:rPr>
            </w:pPr>
            <w:r>
              <w:rPr>
                <w:rFonts w:ascii="Arial" w:cs="Arial" w:eastAsia="Arial" w:hAnsi="Arial"/>
                <w:sz w:val="17"/>
                <w:szCs w:val="17"/>
                <w:color w:val="auto"/>
              </w:rPr>
              <w:t>Other operating items, net</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180" w:type="dxa"/>
            <w:vAlign w:val="bottom"/>
          </w:tcPr>
          <w:p>
            <w:pPr>
              <w:ind w:left="340"/>
              <w:spacing w:after="0" w:line="181" w:lineRule="exact"/>
              <w:rPr>
                <w:sz w:val="20"/>
                <w:szCs w:val="20"/>
                <w:color w:val="auto"/>
              </w:rPr>
            </w:pPr>
            <w:r>
              <w:rPr>
                <w:rFonts w:ascii="Arial" w:cs="Arial" w:eastAsia="Arial" w:hAnsi="Arial"/>
                <w:sz w:val="17"/>
                <w:szCs w:val="17"/>
                <w:color w:val="auto"/>
              </w:rPr>
              <w:t>Net cash provided by operating activities</w:t>
            </w: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41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678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618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180"/>
              <w:spacing w:after="0" w:line="189" w:lineRule="exact"/>
              <w:rPr>
                <w:sz w:val="20"/>
                <w:szCs w:val="20"/>
                <w:color w:val="auto"/>
              </w:rPr>
            </w:pPr>
            <w:r>
              <w:rPr>
                <w:rFonts w:ascii="Arial" w:cs="Arial" w:eastAsia="Arial" w:hAnsi="Arial"/>
                <w:sz w:val="17"/>
                <w:szCs w:val="17"/>
                <w:color w:val="auto"/>
              </w:rPr>
              <w:t>Purchases of property, plant and equipment</w:t>
            </w:r>
          </w:p>
        </w:tc>
        <w:tc>
          <w:tcPr>
            <w:tcW w:w="180" w:type="dxa"/>
            <w:vAlign w:val="bottom"/>
          </w:tcPr>
          <w:p>
            <w:pPr>
              <w:spacing w:after="0"/>
              <w:rPr>
                <w:sz w:val="16"/>
                <w:szCs w:val="16"/>
                <w:color w:val="auto"/>
              </w:rPr>
            </w:pPr>
          </w:p>
        </w:tc>
        <w:tc>
          <w:tcPr>
            <w:tcW w:w="16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(234)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89"/>
        </w:trPr>
        <w:tc>
          <w:tcPr>
            <w:tcW w:w="6180" w:type="dxa"/>
            <w:vAlign w:val="bottom"/>
          </w:tcPr>
          <w:p>
            <w:pPr>
              <w:ind w:left="180"/>
              <w:spacing w:after="0" w:line="189" w:lineRule="exact"/>
              <w:rPr>
                <w:sz w:val="20"/>
                <w:szCs w:val="20"/>
                <w:color w:val="auto"/>
              </w:rPr>
            </w:pPr>
            <w:r>
              <w:rPr>
                <w:rFonts w:ascii="Arial" w:cs="Arial" w:eastAsia="Arial" w:hAnsi="Arial"/>
                <w:sz w:val="17"/>
                <w:szCs w:val="17"/>
                <w:color w:val="auto"/>
              </w:rPr>
              <w:t>Business acquisitions, net of cash acquired</w:t>
            </w:r>
          </w:p>
        </w:tc>
        <w:tc>
          <w:tcPr>
            <w:tcW w:w="180" w:type="dxa"/>
            <w:vAlign w:val="bottom"/>
          </w:tcPr>
          <w:p>
            <w:pPr>
              <w:spacing w:after="0"/>
              <w:rPr>
                <w:sz w:val="16"/>
                <w:szCs w:val="16"/>
                <w:color w:val="auto"/>
              </w:rPr>
            </w:pPr>
          </w:p>
        </w:tc>
        <w:tc>
          <w:tcPr>
            <w:tcW w:w="16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180" w:type="dxa"/>
            <w:vAlign w:val="bottom"/>
          </w:tcPr>
          <w:p>
            <w:pPr>
              <w:ind w:left="180"/>
              <w:spacing w:after="0" w:line="189" w:lineRule="exact"/>
              <w:rPr>
                <w:sz w:val="20"/>
                <w:szCs w:val="20"/>
                <w:color w:val="auto"/>
              </w:rPr>
            </w:pPr>
            <w:r>
              <w:rPr>
                <w:rFonts w:ascii="Arial" w:cs="Arial" w:eastAsia="Arial" w:hAnsi="Arial"/>
                <w:sz w:val="17"/>
                <w:szCs w:val="17"/>
                <w:color w:val="auto"/>
              </w:rPr>
              <w:t>Proceeds from sales of fixed assets</w:t>
            </w:r>
          </w:p>
        </w:tc>
        <w:tc>
          <w:tcPr>
            <w:tcW w:w="18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180" w:type="dxa"/>
            <w:vAlign w:val="bottom"/>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180" w:type="dxa"/>
            <w:vAlign w:val="bottom"/>
          </w:tcPr>
          <w:p>
            <w:pPr>
              <w:ind w:left="340"/>
              <w:spacing w:after="0" w:line="181" w:lineRule="exact"/>
              <w:rPr>
                <w:sz w:val="20"/>
                <w:szCs w:val="20"/>
                <w:color w:val="auto"/>
              </w:rPr>
            </w:pPr>
            <w:r>
              <w:rPr>
                <w:rFonts w:ascii="Arial" w:cs="Arial" w:eastAsia="Arial" w:hAnsi="Arial"/>
                <w:sz w:val="17"/>
                <w:szCs w:val="17"/>
                <w:color w:val="auto"/>
              </w:rPr>
              <w:t>Net cash used in investing activities</w:t>
            </w:r>
          </w:p>
        </w:tc>
        <w:tc>
          <w:tcPr>
            <w:tcW w:w="18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(202)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(266)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618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180"/>
              <w:spacing w:after="0" w:line="189" w:lineRule="exact"/>
              <w:rPr>
                <w:sz w:val="20"/>
                <w:szCs w:val="20"/>
                <w:color w:val="auto"/>
              </w:rPr>
            </w:pPr>
            <w:r>
              <w:rPr>
                <w:rFonts w:ascii="Arial" w:cs="Arial" w:eastAsia="Arial" w:hAnsi="Arial"/>
                <w:sz w:val="17"/>
                <w:szCs w:val="17"/>
                <w:color w:val="auto"/>
              </w:rPr>
              <w:t>Borrowings against lines of credit and other debt</w:t>
            </w:r>
          </w:p>
        </w:tc>
        <w:tc>
          <w:tcPr>
            <w:tcW w:w="18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180"/>
              <w:spacing w:after="0" w:line="189" w:lineRule="exact"/>
              <w:rPr>
                <w:sz w:val="20"/>
                <w:szCs w:val="20"/>
                <w:color w:val="auto"/>
              </w:rPr>
            </w:pPr>
            <w:r>
              <w:rPr>
                <w:rFonts w:ascii="Arial" w:cs="Arial" w:eastAsia="Arial" w:hAnsi="Arial"/>
                <w:sz w:val="17"/>
                <w:szCs w:val="17"/>
                <w:color w:val="auto"/>
              </w:rPr>
              <w:t>Payments against lines of credit and other debt</w:t>
            </w:r>
          </w:p>
        </w:tc>
        <w:tc>
          <w:tcPr>
            <w:tcW w:w="180" w:type="dxa"/>
            <w:vAlign w:val="bottom"/>
          </w:tcPr>
          <w:p>
            <w:pPr>
              <w:spacing w:after="0"/>
              <w:rPr>
                <w:sz w:val="16"/>
                <w:szCs w:val="16"/>
                <w:color w:val="auto"/>
              </w:rPr>
            </w:pPr>
          </w:p>
        </w:tc>
        <w:tc>
          <w:tcPr>
            <w:tcW w:w="16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9"/>
        </w:trPr>
        <w:tc>
          <w:tcPr>
            <w:tcW w:w="6180" w:type="dxa"/>
            <w:vAlign w:val="bottom"/>
          </w:tcPr>
          <w:p>
            <w:pPr>
              <w:ind w:left="180"/>
              <w:spacing w:after="0" w:line="189" w:lineRule="exact"/>
              <w:rPr>
                <w:sz w:val="20"/>
                <w:szCs w:val="20"/>
                <w:color w:val="auto"/>
              </w:rPr>
            </w:pPr>
            <w:r>
              <w:rPr>
                <w:rFonts w:ascii="Arial" w:cs="Arial" w:eastAsia="Arial" w:hAnsi="Arial"/>
                <w:sz w:val="17"/>
                <w:szCs w:val="17"/>
                <w:color w:val="auto"/>
              </w:rPr>
              <w:t>Cash dividends paid</w:t>
            </w:r>
          </w:p>
        </w:tc>
        <w:tc>
          <w:tcPr>
            <w:tcW w:w="180" w:type="dxa"/>
            <w:vAlign w:val="bottom"/>
          </w:tcPr>
          <w:p>
            <w:pPr>
              <w:spacing w:after="0"/>
              <w:rPr>
                <w:sz w:val="16"/>
                <w:szCs w:val="16"/>
                <w:color w:val="auto"/>
              </w:rPr>
            </w:pPr>
          </w:p>
        </w:tc>
        <w:tc>
          <w:tcPr>
            <w:tcW w:w="16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(129)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189"/>
        </w:trPr>
        <w:tc>
          <w:tcPr>
            <w:tcW w:w="6180" w:type="dxa"/>
            <w:vAlign w:val="bottom"/>
          </w:tcPr>
          <w:p>
            <w:pPr>
              <w:ind w:left="180"/>
              <w:spacing w:after="0" w:line="189" w:lineRule="exact"/>
              <w:rPr>
                <w:sz w:val="20"/>
                <w:szCs w:val="20"/>
                <w:color w:val="auto"/>
              </w:rPr>
            </w:pPr>
            <w:r>
              <w:rPr>
                <w:rFonts w:ascii="Arial" w:cs="Arial" w:eastAsia="Arial" w:hAnsi="Arial"/>
                <w:sz w:val="17"/>
                <w:szCs w:val="17"/>
                <w:color w:val="auto"/>
              </w:rPr>
              <w:t>Share repurchases</w:t>
            </w:r>
          </w:p>
        </w:tc>
        <w:tc>
          <w:tcPr>
            <w:tcW w:w="180" w:type="dxa"/>
            <w:vAlign w:val="bottom"/>
          </w:tcPr>
          <w:p>
            <w:pPr>
              <w:spacing w:after="0"/>
              <w:rPr>
                <w:sz w:val="16"/>
                <w:szCs w:val="16"/>
                <w:color w:val="auto"/>
              </w:rPr>
            </w:pPr>
          </w:p>
        </w:tc>
        <w:tc>
          <w:tcPr>
            <w:tcW w:w="16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(145)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08"/>
        </w:trPr>
        <w:tc>
          <w:tcPr>
            <w:tcW w:w="6180" w:type="dxa"/>
            <w:vAlign w:val="bottom"/>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62"/>
        </w:trPr>
        <w:tc>
          <w:tcPr>
            <w:tcW w:w="6180" w:type="dxa"/>
            <w:vAlign w:val="bottom"/>
          </w:tcPr>
          <w:p>
            <w:pPr>
              <w:ind w:left="340"/>
              <w:spacing w:after="0" w:line="162" w:lineRule="exact"/>
              <w:rPr>
                <w:sz w:val="20"/>
                <w:szCs w:val="20"/>
                <w:color w:val="auto"/>
              </w:rPr>
            </w:pPr>
            <w:r>
              <w:rPr>
                <w:rFonts w:ascii="Arial" w:cs="Arial" w:eastAsia="Arial" w:hAnsi="Arial"/>
                <w:sz w:val="17"/>
                <w:szCs w:val="17"/>
                <w:color w:val="auto"/>
              </w:rPr>
              <w:t>Net cash used in financing activities</w:t>
            </w:r>
          </w:p>
        </w:tc>
        <w:tc>
          <w:tcPr>
            <w:tcW w:w="1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color w:val="auto"/>
              </w:rPr>
              <w:t>(53)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color w:val="auto"/>
              </w:rPr>
              <w:t>(316)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color w:val="auto"/>
              </w:rPr>
              <w:t>(451)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7"/>
                <w:szCs w:val="17"/>
                <w:color w:val="auto"/>
              </w:rPr>
              <w:t>Effect of exchange rates on cash</w:t>
            </w:r>
          </w:p>
        </w:tc>
        <w:tc>
          <w:tcPr>
            <w:tcW w:w="18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80" w:type="dxa"/>
            <w:vAlign w:val="bottom"/>
          </w:tcPr>
          <w:p>
            <w:pPr>
              <w:spacing w:after="0" w:line="162" w:lineRule="exact"/>
              <w:rPr>
                <w:sz w:val="20"/>
                <w:szCs w:val="20"/>
                <w:color w:val="auto"/>
              </w:rPr>
            </w:pPr>
            <w:r>
              <w:rPr>
                <w:rFonts w:ascii="Arial" w:cs="Arial" w:eastAsia="Arial" w:hAnsi="Arial"/>
                <w:sz w:val="17"/>
                <w:szCs w:val="17"/>
                <w:color w:val="auto"/>
              </w:rPr>
              <w:t>Decrease in cash and cash equivalents</w:t>
            </w:r>
          </w:p>
        </w:tc>
        <w:tc>
          <w:tcPr>
            <w:tcW w:w="1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color w:val="auto"/>
              </w:rPr>
              <w:t>(106)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color w:val="auto"/>
              </w:rPr>
              <w:t>(494)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color w:val="auto"/>
              </w:rPr>
              <w:t>(23)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180" w:type="dxa"/>
            <w:vAlign w:val="bottom"/>
          </w:tcPr>
          <w:p>
            <w:pPr>
              <w:spacing w:after="0" w:line="169" w:lineRule="exact"/>
              <w:rPr>
                <w:sz w:val="20"/>
                <w:szCs w:val="20"/>
                <w:color w:val="auto"/>
              </w:rPr>
            </w:pPr>
            <w:r>
              <w:rPr>
                <w:rFonts w:ascii="Arial" w:cs="Arial" w:eastAsia="Arial" w:hAnsi="Arial"/>
                <w:sz w:val="17"/>
                <w:szCs w:val="17"/>
                <w:color w:val="auto"/>
              </w:rPr>
              <w:t>Cash and cash equivalents, end of period</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1,058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4"/>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1,058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04"/>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1,207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419100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60" w:top="896" w:right="37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t>NOV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MEASURES (Unaudited)</w:t>
      </w:r>
    </w:p>
    <w:p>
      <w:pPr>
        <w:jc w:val="center"/>
        <w:spacing w:after="0"/>
        <w:rPr>
          <w:sz w:val="20"/>
          <w:szCs w:val="20"/>
          <w:color w:val="auto"/>
        </w:rPr>
      </w:pPr>
      <w:r>
        <w:rPr>
          <w:rFonts w:ascii="Arial" w:cs="Arial" w:eastAsia="Arial" w:hAnsi="Arial"/>
          <w:sz w:val="19"/>
          <w:szCs w:val="19"/>
          <w:b w:val="1"/>
          <w:bCs w:val="1"/>
          <w:color w:val="auto"/>
        </w:rPr>
        <w:t>(In millions)</w:t>
      </w:r>
    </w:p>
    <w:p>
      <w:pPr>
        <w:spacing w:after="0" w:line="87"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Presented below is a reconciliation of cash flow from operating activities to “Free Cash Flow”. The Company defines Free Cash Flow as cash flow from operating activities less purchases of property, plant and equipment, or “capital expenditures” and Excess Free Cash Flow as cash flows from operations less capital expenditures and other investments, including acquisitions and divestitures. Management believes this is important information to provide because it is used by management to evaluate the Company’s operational performance and trends between periods and manage the business. Management also believes this information may be useful to investors and analysts to gain a better understanding of the Company’s results of ongoing operations. Free Cash Flow and Excess Free Cash Flow are not intended to replace GAAP financial measures.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Arial" w:cs="Arial" w:eastAsia="Arial" w:hAnsi="Arial"/>
                <w:sz w:val="17"/>
                <w:szCs w:val="17"/>
                <w:color w:val="auto"/>
              </w:rPr>
              <w:t>Three Months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793"/>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08"/>
        </w:trPr>
        <w:tc>
          <w:tcPr>
            <w:tcW w:w="6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September 30,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September 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53"/>
              <w:spacing w:after="0" w:line="181" w:lineRule="exact"/>
              <w:rPr>
                <w:sz w:val="20"/>
                <w:szCs w:val="20"/>
                <w:color w:val="auto"/>
              </w:rPr>
            </w:pPr>
            <w:r>
              <w:rPr>
                <w:rFonts w:ascii="Arial" w:cs="Arial" w:eastAsia="Arial" w:hAnsi="Arial"/>
                <w:sz w:val="17"/>
                <w:szCs w:val="17"/>
                <w:color w:val="auto"/>
              </w:rPr>
              <w:t>2026</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3"/>
              <w:spacing w:after="0" w:line="181" w:lineRule="exact"/>
              <w:rPr>
                <w:sz w:val="20"/>
                <w:szCs w:val="20"/>
                <w:color w:val="auto"/>
              </w:rPr>
            </w:pPr>
            <w:r>
              <w:rPr>
                <w:rFonts w:ascii="Arial" w:cs="Arial" w:eastAsia="Arial" w:hAnsi="Arial"/>
                <w:sz w:val="17"/>
                <w:szCs w:val="17"/>
                <w:color w:val="auto"/>
              </w:rPr>
              <w:t>2026</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3"/>
              <w:spacing w:after="0" w:line="181"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351"/>
        </w:trPr>
        <w:tc>
          <w:tcPr>
            <w:tcW w:w="6200" w:type="dxa"/>
            <w:vAlign w:val="bottom"/>
          </w:tcPr>
          <w:p>
            <w:pPr>
              <w:spacing w:after="0"/>
              <w:rPr>
                <w:sz w:val="20"/>
                <w:szCs w:val="20"/>
                <w:color w:val="auto"/>
              </w:rPr>
            </w:pPr>
            <w:r>
              <w:rPr>
                <w:rFonts w:ascii="Arial" w:cs="Arial" w:eastAsia="Arial" w:hAnsi="Arial"/>
                <w:sz w:val="17"/>
                <w:szCs w:val="17"/>
                <w:color w:val="auto"/>
              </w:rPr>
              <w:t>Total cash flows provided by operating activities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3"/>
              <w:spacing w:after="0"/>
              <w:rPr>
                <w:sz w:val="20"/>
                <w:szCs w:val="20"/>
                <w:color w:val="auto"/>
              </w:rPr>
            </w:pPr>
            <w:r>
              <w:rPr>
                <w:rFonts w:ascii="Arial" w:cs="Arial" w:eastAsia="Arial" w:hAnsi="Arial"/>
                <w:sz w:val="17"/>
                <w:szCs w:val="17"/>
                <w:color w:val="auto"/>
              </w:rPr>
              <w:t>41</w:t>
            </w:r>
          </w:p>
        </w:tc>
        <w:tc>
          <w:tcPr>
            <w:tcW w:w="42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32</w:t>
            </w:r>
          </w:p>
        </w:tc>
        <w:tc>
          <w:tcPr>
            <w:tcW w:w="600" w:type="dxa"/>
            <w:vAlign w:val="bottom"/>
            <w:gridSpan w:val="2"/>
          </w:tcPr>
          <w:p>
            <w:pPr>
              <w:jc w:val="right"/>
              <w:ind w:right="29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3"/>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208"/>
        </w:trPr>
        <w:tc>
          <w:tcPr>
            <w:tcW w:w="6200" w:type="dxa"/>
            <w:vAlign w:val="bottom"/>
          </w:tcPr>
          <w:p>
            <w:pPr>
              <w:spacing w:after="0"/>
              <w:rPr>
                <w:sz w:val="20"/>
                <w:szCs w:val="20"/>
                <w:color w:val="auto"/>
              </w:rPr>
            </w:pPr>
            <w:r>
              <w:rPr>
                <w:rFonts w:ascii="Arial" w:cs="Arial" w:eastAsia="Arial" w:hAnsi="Arial"/>
                <w:sz w:val="17"/>
                <w:szCs w:val="17"/>
                <w:color w:val="auto"/>
              </w:rPr>
              <w:t>Capital expenditures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81"/>
        </w:trPr>
        <w:tc>
          <w:tcPr>
            <w:tcW w:w="6200" w:type="dxa"/>
            <w:vAlign w:val="bottom"/>
          </w:tcPr>
          <w:p>
            <w:pPr>
              <w:ind w:left="60"/>
              <w:spacing w:after="0" w:line="169" w:lineRule="exact"/>
              <w:rPr>
                <w:sz w:val="20"/>
                <w:szCs w:val="20"/>
                <w:color w:val="auto"/>
              </w:rPr>
            </w:pPr>
            <w:r>
              <w:rPr>
                <w:rFonts w:ascii="Arial" w:cs="Arial" w:eastAsia="Arial" w:hAnsi="Arial"/>
                <w:sz w:val="17"/>
                <w:szCs w:val="17"/>
                <w:color w:val="auto"/>
              </w:rPr>
              <w:t>Free Cash Flow</w:t>
            </w:r>
          </w:p>
        </w:tc>
        <w:tc>
          <w:tcPr>
            <w:tcW w:w="180" w:type="dxa"/>
            <w:vAlign w:val="bottom"/>
            <w:tcBorders>
              <w:bottom w:val="single" w:sz="8" w:color="auto"/>
            </w:tcBorders>
          </w:tcPr>
          <w:p>
            <w:pPr>
              <w:spacing w:after="0" w:line="169"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(47)</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3"/>
              <w:spacing w:after="0" w:line="169"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(202)</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293"/>
              <w:spacing w:after="0" w:line="169" w:lineRule="exact"/>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53"/>
              <w:spacing w:after="0" w:line="169" w:lineRule="exact"/>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7"/>
                <w:szCs w:val="17"/>
                <w:color w:val="auto"/>
              </w:rPr>
              <w:t>Business acquisitions, net of cash acquired</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2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7"/>
                <w:szCs w:val="17"/>
                <w:color w:val="auto"/>
              </w:rPr>
              <w:t>(8)</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7"/>
                <w:szCs w:val="17"/>
                <w:color w:val="auto"/>
              </w:rPr>
              <w:t>(21)</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
              <w:spacing w:after="0" w:line="16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6200" w:type="dxa"/>
            <w:vAlign w:val="bottom"/>
          </w:tcPr>
          <w:p>
            <w:pPr>
              <w:ind w:left="60"/>
              <w:spacing w:after="0" w:line="169" w:lineRule="exact"/>
              <w:rPr>
                <w:sz w:val="20"/>
                <w:szCs w:val="20"/>
                <w:color w:val="auto"/>
              </w:rPr>
            </w:pPr>
            <w:r>
              <w:rPr>
                <w:rFonts w:ascii="Arial" w:cs="Arial" w:eastAsia="Arial" w:hAnsi="Arial"/>
                <w:sz w:val="17"/>
                <w:szCs w:val="17"/>
                <w:color w:val="auto"/>
              </w:rPr>
              <w:t>Excess Free Cash Flow</w:t>
            </w:r>
          </w:p>
        </w:tc>
        <w:tc>
          <w:tcPr>
            <w:tcW w:w="180" w:type="dxa"/>
            <w:vAlign w:val="bottom"/>
            <w:tcBorders>
              <w:bottom w:val="single" w:sz="8" w:color="auto"/>
            </w:tcBorders>
          </w:tcPr>
          <w:p>
            <w:pPr>
              <w:spacing w:after="0" w:line="169"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(55)</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3"/>
              <w:spacing w:after="0" w:line="169"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(223)</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293"/>
              <w:spacing w:after="0" w:line="169" w:lineRule="exact"/>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53"/>
              <w:spacing w:after="0" w:line="169" w:lineRule="exact"/>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96"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9"/>
          <w:szCs w:val="19"/>
          <w:b w:val="1"/>
          <w:bCs w:val="1"/>
          <w:color w:val="auto"/>
        </w:rPr>
        <w:t>NOV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MEASURES, CONT. (Unaudited)</w:t>
      </w:r>
    </w:p>
    <w:p>
      <w:pPr>
        <w:jc w:val="center"/>
        <w:spacing w:after="0"/>
        <w:rPr>
          <w:sz w:val="20"/>
          <w:szCs w:val="20"/>
          <w:color w:val="auto"/>
        </w:rPr>
      </w:pPr>
      <w:r>
        <w:rPr>
          <w:rFonts w:ascii="Arial" w:cs="Arial" w:eastAsia="Arial" w:hAnsi="Arial"/>
          <w:sz w:val="19"/>
          <w:szCs w:val="19"/>
          <w:b w:val="1"/>
          <w:bCs w:val="1"/>
          <w:color w:val="auto"/>
        </w:rPr>
        <w:t>(In millions)</w:t>
      </w:r>
    </w:p>
    <w:p>
      <w:pPr>
        <w:spacing w:after="0" w:line="87"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Presented below is a reconciliation of operating profit to Adjusted operating profit and Net Income to Adjusted EBITDA. The Company defines Adjusted operating profit as operating profit excluding gains and losses on fixed assets, and, when applicable, pre-tax Other Items. The Company defines Adjusted EBITDA as operating profit excluding depreciation, amortization, gains and losses on fixed assets, and, when applicable, pre-tax Other Items. Adjusted EBITDA % is a ratio showing Adjusted EBITDA as a percentage of sales. Management believes this is important information to provide because it is used by management to evaluate the Company’s operational performance and trends between periods and manage the business. Management also believes this information may be useful to investors and analysts to gain a better understanding of the Company’s results of ongoing operations. Adjusted operating profit, Adjusted EBITDA and Adjusted EBITDA % are not intended to replace GAAP financial measures, such as Net Income and operating profit %. Pre-tax Other Items include gain on business divestiture, impairment, restructure, severance, facility closure costs and inventory charges and credits.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9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w w:val="97"/>
              </w:rPr>
              <w:t>Three Months Ended</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4"/>
          </w:tcPr>
          <w:p>
            <w:pPr>
              <w:jc w:val="right"/>
              <w:ind w:right="697"/>
              <w:spacing w:after="0"/>
              <w:rPr>
                <w:sz w:val="20"/>
                <w:szCs w:val="20"/>
                <w:color w:val="auto"/>
              </w:rPr>
            </w:pPr>
            <w:r>
              <w:rPr>
                <w:rFonts w:ascii="Arial" w:cs="Arial" w:eastAsia="Arial" w:hAnsi="Arial"/>
                <w:sz w:val="13"/>
                <w:szCs w:val="13"/>
                <w:color w:val="auto"/>
              </w:rPr>
              <w:t>Nine Months Ended</w:t>
            </w:r>
          </w:p>
        </w:tc>
        <w:tc>
          <w:tcPr>
            <w:tcW w:w="0" w:type="dxa"/>
            <w:vAlign w:val="bottom"/>
          </w:tcPr>
          <w:p>
            <w:pPr>
              <w:spacing w:after="0"/>
              <w:rPr>
                <w:sz w:val="1"/>
                <w:szCs w:val="1"/>
                <w:color w:val="auto"/>
              </w:rPr>
            </w:pPr>
          </w:p>
        </w:tc>
      </w:tr>
      <w:tr>
        <w:trPr>
          <w:trHeight w:val="134"/>
        </w:trPr>
        <w:tc>
          <w:tcPr>
            <w:tcW w:w="49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13"/>
              <w:spacing w:after="0" w:line="134" w:lineRule="exact"/>
              <w:rPr>
                <w:sz w:val="20"/>
                <w:szCs w:val="20"/>
                <w:color w:val="auto"/>
              </w:rPr>
            </w:pPr>
            <w:r>
              <w:rPr>
                <w:rFonts w:ascii="Arial" w:cs="Arial" w:eastAsia="Arial" w:hAnsi="Arial"/>
                <w:sz w:val="13"/>
                <w:szCs w:val="13"/>
                <w:color w:val="auto"/>
                <w:w w:val="98"/>
              </w:rPr>
              <w:t>September 30,</w:t>
            </w: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337"/>
              <w:spacing w:after="0" w:line="134" w:lineRule="exact"/>
              <w:rPr>
                <w:sz w:val="20"/>
                <w:szCs w:val="20"/>
                <w:color w:val="auto"/>
              </w:rPr>
            </w:pPr>
            <w:r>
              <w:rPr>
                <w:rFonts w:ascii="Arial" w:cs="Arial" w:eastAsia="Arial" w:hAnsi="Arial"/>
                <w:sz w:val="13"/>
                <w:szCs w:val="13"/>
                <w:color w:val="auto"/>
              </w:rPr>
              <w:t>June 30,</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spacing w:after="0" w:line="134" w:lineRule="exact"/>
              <w:rPr>
                <w:sz w:val="20"/>
                <w:szCs w:val="20"/>
                <w:color w:val="auto"/>
              </w:rPr>
            </w:pPr>
            <w:r>
              <w:rPr>
                <w:rFonts w:ascii="Arial" w:cs="Arial" w:eastAsia="Arial" w:hAnsi="Arial"/>
                <w:sz w:val="13"/>
                <w:szCs w:val="13"/>
                <w:color w:val="auto"/>
              </w:rPr>
              <w:t>September 30,</w:t>
            </w: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960" w:type="dxa"/>
            <w:vAlign w:val="bottom"/>
            <w:vMerge w:val="restart"/>
          </w:tcPr>
          <w:p>
            <w:pPr>
              <w:spacing w:after="0"/>
              <w:rPr>
                <w:sz w:val="20"/>
                <w:szCs w:val="20"/>
                <w:color w:val="auto"/>
              </w:rPr>
            </w:pPr>
            <w:r>
              <w:rPr>
                <w:rFonts w:ascii="Arial" w:cs="Arial" w:eastAsia="Arial" w:hAnsi="Arial"/>
                <w:sz w:val="13"/>
                <w:szCs w:val="13"/>
                <w:color w:val="auto"/>
              </w:rPr>
              <w:t>Operating profit:</w:t>
            </w:r>
          </w:p>
        </w:tc>
        <w:tc>
          <w:tcPr>
            <w:tcW w:w="7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2026</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37"/>
              <w:spacing w:after="0" w:line="134" w:lineRule="exact"/>
              <w:rPr>
                <w:sz w:val="20"/>
                <w:szCs w:val="20"/>
                <w:color w:val="auto"/>
              </w:rPr>
            </w:pPr>
            <w:r>
              <w:rPr>
                <w:rFonts w:ascii="Arial" w:cs="Arial" w:eastAsia="Arial" w:hAnsi="Arial"/>
                <w:sz w:val="13"/>
                <w:szCs w:val="13"/>
                <w:color w:val="auto"/>
              </w:rPr>
              <w:t>2025</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37"/>
              <w:spacing w:after="0" w:line="134" w:lineRule="exact"/>
              <w:rPr>
                <w:sz w:val="20"/>
                <w:szCs w:val="20"/>
                <w:color w:val="auto"/>
              </w:rPr>
            </w:pPr>
            <w:r>
              <w:rPr>
                <w:rFonts w:ascii="Arial" w:cs="Arial" w:eastAsia="Arial" w:hAnsi="Arial"/>
                <w:sz w:val="13"/>
                <w:szCs w:val="13"/>
                <w:color w:val="auto"/>
              </w:rPr>
              <w:t>2026</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57"/>
              <w:spacing w:after="0" w:line="134" w:lineRule="exact"/>
              <w:rPr>
                <w:sz w:val="20"/>
                <w:szCs w:val="20"/>
                <w:color w:val="auto"/>
              </w:rPr>
            </w:pPr>
            <w:r>
              <w:rPr>
                <w:rFonts w:ascii="Arial" w:cs="Arial" w:eastAsia="Arial" w:hAnsi="Arial"/>
                <w:sz w:val="13"/>
                <w:szCs w:val="13"/>
                <w:color w:val="auto"/>
              </w:rPr>
              <w:t>2026</w:t>
            </w: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57"/>
              <w:spacing w:after="0" w:line="134" w:lineRule="exact"/>
              <w:rPr>
                <w:sz w:val="20"/>
                <w:szCs w:val="20"/>
                <w:color w:val="auto"/>
              </w:rPr>
            </w:pPr>
            <w:r>
              <w:rPr>
                <w:rFonts w:ascii="Arial" w:cs="Arial" w:eastAsia="Arial" w:hAnsi="Arial"/>
                <w:sz w:val="13"/>
                <w:szCs w:val="13"/>
                <w:color w:val="auto"/>
              </w:rPr>
              <w:t>2025</w:t>
            </w:r>
          </w:p>
        </w:tc>
        <w:tc>
          <w:tcPr>
            <w:tcW w:w="0" w:type="dxa"/>
            <w:vAlign w:val="bottom"/>
          </w:tcPr>
          <w:p>
            <w:pPr>
              <w:spacing w:after="0"/>
              <w:rPr>
                <w:sz w:val="1"/>
                <w:szCs w:val="1"/>
                <w:color w:val="auto"/>
              </w:rPr>
            </w:pPr>
          </w:p>
        </w:tc>
      </w:tr>
      <w:tr>
        <w:trPr>
          <w:trHeight w:val="126"/>
        </w:trPr>
        <w:tc>
          <w:tcPr>
            <w:tcW w:w="49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Equipment</w:t>
            </w:r>
          </w:p>
        </w:tc>
        <w:tc>
          <w:tcPr>
            <w:tcW w:w="700" w:type="dxa"/>
            <w:vAlign w:val="bottom"/>
          </w:tcPr>
          <w:p>
            <w:pPr>
              <w:jc w:val="right"/>
              <w:ind w:right="557"/>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122</w:t>
            </w:r>
          </w:p>
        </w:tc>
        <w:tc>
          <w:tcPr>
            <w:tcW w:w="440" w:type="dxa"/>
            <w:vAlign w:val="bottom"/>
            <w:gridSpan w:val="2"/>
          </w:tcPr>
          <w:p>
            <w:pPr>
              <w:jc w:val="right"/>
              <w:ind w:right="233"/>
              <w:spacing w:after="0" w:line="142"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130</w:t>
            </w:r>
          </w:p>
        </w:tc>
        <w:tc>
          <w:tcPr>
            <w:tcW w:w="280" w:type="dxa"/>
            <w:vAlign w:val="bottom"/>
            <w:gridSpan w:val="2"/>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177</w:t>
            </w:r>
          </w:p>
        </w:tc>
        <w:tc>
          <w:tcPr>
            <w:tcW w:w="340" w:type="dxa"/>
            <w:vAlign w:val="bottom"/>
            <w:gridSpan w:val="2"/>
          </w:tcPr>
          <w:p>
            <w:pPr>
              <w:jc w:val="right"/>
              <w:ind w:right="113"/>
              <w:spacing w:after="0" w:line="142"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392</w:t>
            </w:r>
          </w:p>
        </w:tc>
        <w:tc>
          <w:tcPr>
            <w:tcW w:w="440" w:type="dxa"/>
            <w:vAlign w:val="bottom"/>
            <w:gridSpan w:val="2"/>
          </w:tcPr>
          <w:p>
            <w:pPr>
              <w:jc w:val="right"/>
              <w:ind w:right="213"/>
              <w:spacing w:after="0" w:line="14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Products and Services</w:t>
            </w:r>
          </w:p>
        </w:tc>
        <w:tc>
          <w:tcPr>
            <w:tcW w:w="70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88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38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85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199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50"/>
        </w:trPr>
        <w:tc>
          <w:tcPr>
            <w:tcW w:w="4960" w:type="dxa"/>
            <w:vAlign w:val="bottom"/>
          </w:tcPr>
          <w:p>
            <w:pPr>
              <w:ind w:left="80"/>
              <w:spacing w:after="0"/>
              <w:rPr>
                <w:sz w:val="20"/>
                <w:szCs w:val="20"/>
                <w:color w:val="auto"/>
              </w:rPr>
            </w:pPr>
            <w:r>
              <w:rPr>
                <w:rFonts w:ascii="Arial" w:cs="Arial" w:eastAsia="Arial" w:hAnsi="Arial"/>
                <w:sz w:val="13"/>
                <w:szCs w:val="13"/>
                <w:color w:val="auto"/>
              </w:rPr>
              <w:t>Eliminations and corporate costs</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34"/>
        </w:trPr>
        <w:tc>
          <w:tcPr>
            <w:tcW w:w="4960" w:type="dxa"/>
            <w:vAlign w:val="bottom"/>
          </w:tcPr>
          <w:p>
            <w:pPr>
              <w:spacing w:after="0" w:line="134" w:lineRule="exact"/>
              <w:rPr>
                <w:sz w:val="20"/>
                <w:szCs w:val="20"/>
                <w:color w:val="auto"/>
              </w:rPr>
            </w:pPr>
            <w:r>
              <w:rPr>
                <w:rFonts w:ascii="Arial" w:cs="Arial" w:eastAsia="Arial" w:hAnsi="Arial"/>
                <w:sz w:val="13"/>
                <w:szCs w:val="13"/>
                <w:color w:val="auto"/>
              </w:rPr>
              <w:t>Total operating profit</w:t>
            </w:r>
          </w:p>
        </w:tc>
        <w:tc>
          <w:tcPr>
            <w:tcW w:w="700" w:type="dxa"/>
            <w:vAlign w:val="bottom"/>
            <w:tcBorders>
              <w:bottom w:val="single" w:sz="8" w:color="auto"/>
            </w:tcBorders>
          </w:tcPr>
          <w:p>
            <w:pPr>
              <w:jc w:val="right"/>
              <w:ind w:right="557"/>
              <w:spacing w:after="0" w:line="134" w:lineRule="exact"/>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142</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3"/>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107</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193</w:t>
            </w:r>
          </w:p>
        </w:tc>
        <w:tc>
          <w:tcPr>
            <w:tcW w:w="120" w:type="dxa"/>
            <w:vAlign w:val="bottom"/>
          </w:tcPr>
          <w:p>
            <w:pPr>
              <w:spacing w:after="0"/>
              <w:rPr>
                <w:sz w:val="11"/>
                <w:szCs w:val="11"/>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382</w:t>
            </w:r>
          </w:p>
        </w:tc>
        <w:tc>
          <w:tcPr>
            <w:tcW w:w="120" w:type="dxa"/>
            <w:vAlign w:val="bottom"/>
          </w:tcPr>
          <w:p>
            <w:pPr>
              <w:spacing w:after="0"/>
              <w:rPr>
                <w:sz w:val="11"/>
                <w:szCs w:val="11"/>
                <w:color w:val="auto"/>
              </w:rPr>
            </w:pP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3"/>
                <w:szCs w:val="13"/>
                <w:color w:val="auto"/>
              </w:rPr>
              <w:t>Operating profit %:</w:t>
            </w: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Equipment</w:t>
            </w:r>
          </w:p>
        </w:tc>
        <w:tc>
          <w:tcPr>
            <w:tcW w:w="7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10.4%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14.5%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10.8%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Products and Services</w:t>
            </w:r>
          </w:p>
        </w:tc>
        <w:tc>
          <w:tcPr>
            <w:tcW w:w="7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8.3%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3.9%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8.7%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6.8%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0"/>
        </w:trPr>
        <w:tc>
          <w:tcPr>
            <w:tcW w:w="4960" w:type="dxa"/>
            <w:vAlign w:val="bottom"/>
          </w:tcPr>
          <w:p>
            <w:pPr>
              <w:ind w:left="80"/>
              <w:spacing w:after="0"/>
              <w:rPr>
                <w:sz w:val="20"/>
                <w:szCs w:val="20"/>
                <w:color w:val="auto"/>
              </w:rPr>
            </w:pPr>
            <w:r>
              <w:rPr>
                <w:rFonts w:ascii="Arial" w:cs="Arial" w:eastAsia="Arial" w:hAnsi="Arial"/>
                <w:sz w:val="13"/>
                <w:szCs w:val="13"/>
                <w:color w:val="auto"/>
              </w:rPr>
              <w:t>Eliminations and corporate costs</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960" w:type="dxa"/>
            <w:vAlign w:val="bottom"/>
          </w:tcPr>
          <w:p>
            <w:pPr>
              <w:spacing w:after="0" w:line="134" w:lineRule="exact"/>
              <w:rPr>
                <w:sz w:val="20"/>
                <w:szCs w:val="20"/>
                <w:color w:val="auto"/>
              </w:rPr>
            </w:pPr>
            <w:r>
              <w:rPr>
                <w:rFonts w:ascii="Arial" w:cs="Arial" w:eastAsia="Arial" w:hAnsi="Arial"/>
                <w:sz w:val="13"/>
                <w:szCs w:val="13"/>
                <w:color w:val="auto"/>
              </w:rPr>
              <w:t>Total operating profit %</w:t>
            </w:r>
          </w:p>
        </w:tc>
        <w:tc>
          <w:tcPr>
            <w:tcW w:w="7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6.4%</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4.9%</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6.0%</w:t>
            </w: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3"/>
                <w:szCs w:val="13"/>
                <w:color w:val="auto"/>
              </w:rPr>
              <w:t>Pre-tax Other Items, net:</w:t>
            </w: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Equipment</w:t>
            </w:r>
          </w:p>
        </w:tc>
        <w:tc>
          <w:tcPr>
            <w:tcW w:w="700" w:type="dxa"/>
            <w:vAlign w:val="bottom"/>
          </w:tcPr>
          <w:p>
            <w:pPr>
              <w:jc w:val="right"/>
              <w:ind w:right="557"/>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14</w:t>
            </w:r>
          </w:p>
        </w:tc>
        <w:tc>
          <w:tcPr>
            <w:tcW w:w="440" w:type="dxa"/>
            <w:vAlign w:val="bottom"/>
            <w:gridSpan w:val="2"/>
          </w:tcPr>
          <w:p>
            <w:pPr>
              <w:jc w:val="right"/>
              <w:ind w:right="233"/>
              <w:spacing w:after="0" w:line="142"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21</w:t>
            </w:r>
          </w:p>
        </w:tc>
        <w:tc>
          <w:tcPr>
            <w:tcW w:w="280" w:type="dxa"/>
            <w:vAlign w:val="bottom"/>
            <w:gridSpan w:val="2"/>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w:t>
            </w:r>
          </w:p>
        </w:tc>
        <w:tc>
          <w:tcPr>
            <w:tcW w:w="340" w:type="dxa"/>
            <w:vAlign w:val="bottom"/>
            <w:gridSpan w:val="2"/>
          </w:tcPr>
          <w:p>
            <w:pPr>
              <w:jc w:val="right"/>
              <w:ind w:right="113"/>
              <w:spacing w:after="0" w:line="142"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25</w:t>
            </w:r>
          </w:p>
        </w:tc>
        <w:tc>
          <w:tcPr>
            <w:tcW w:w="440" w:type="dxa"/>
            <w:vAlign w:val="bottom"/>
            <w:gridSpan w:val="2"/>
          </w:tcPr>
          <w:p>
            <w:pPr>
              <w:jc w:val="right"/>
              <w:ind w:right="213"/>
              <w:spacing w:after="0" w:line="14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Products and Services</w:t>
            </w:r>
          </w:p>
        </w:tc>
        <w:tc>
          <w:tcPr>
            <w:tcW w:w="70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0"/>
        </w:trPr>
        <w:tc>
          <w:tcPr>
            <w:tcW w:w="4960" w:type="dxa"/>
            <w:vAlign w:val="bottom"/>
          </w:tcPr>
          <w:p>
            <w:pPr>
              <w:ind w:left="80"/>
              <w:spacing w:after="0"/>
              <w:rPr>
                <w:sz w:val="20"/>
                <w:szCs w:val="20"/>
                <w:color w:val="auto"/>
              </w:rPr>
            </w:pPr>
            <w:r>
              <w:rPr>
                <w:rFonts w:ascii="Arial" w:cs="Arial" w:eastAsia="Arial" w:hAnsi="Arial"/>
                <w:sz w:val="13"/>
                <w:szCs w:val="13"/>
                <w:color w:val="auto"/>
              </w:rPr>
              <w:t>Corporate</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4"/>
        </w:trPr>
        <w:tc>
          <w:tcPr>
            <w:tcW w:w="4960" w:type="dxa"/>
            <w:vAlign w:val="bottom"/>
          </w:tcPr>
          <w:p>
            <w:pPr>
              <w:spacing w:after="0" w:line="134" w:lineRule="exact"/>
              <w:rPr>
                <w:sz w:val="20"/>
                <w:szCs w:val="20"/>
                <w:color w:val="auto"/>
              </w:rPr>
            </w:pPr>
            <w:r>
              <w:rPr>
                <w:rFonts w:ascii="Arial" w:cs="Arial" w:eastAsia="Arial" w:hAnsi="Arial"/>
                <w:sz w:val="13"/>
                <w:szCs w:val="13"/>
                <w:color w:val="auto"/>
              </w:rPr>
              <w:t>Total pre-tax Other Items</w:t>
            </w:r>
          </w:p>
        </w:tc>
        <w:tc>
          <w:tcPr>
            <w:tcW w:w="700" w:type="dxa"/>
            <w:vAlign w:val="bottom"/>
            <w:tcBorders>
              <w:bottom w:val="single" w:sz="8" w:color="auto"/>
            </w:tcBorders>
          </w:tcPr>
          <w:p>
            <w:pPr>
              <w:jc w:val="right"/>
              <w:ind w:right="557"/>
              <w:spacing w:after="0" w:line="134" w:lineRule="exact"/>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3"/>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65</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17</w:t>
            </w:r>
          </w:p>
        </w:tc>
        <w:tc>
          <w:tcPr>
            <w:tcW w:w="120" w:type="dxa"/>
            <w:vAlign w:val="bottom"/>
          </w:tcPr>
          <w:p>
            <w:pPr>
              <w:spacing w:after="0"/>
              <w:rPr>
                <w:sz w:val="11"/>
                <w:szCs w:val="11"/>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82</w:t>
            </w:r>
          </w:p>
        </w:tc>
        <w:tc>
          <w:tcPr>
            <w:tcW w:w="120" w:type="dxa"/>
            <w:vAlign w:val="bottom"/>
          </w:tcPr>
          <w:p>
            <w:pPr>
              <w:spacing w:after="0"/>
              <w:rPr>
                <w:sz w:val="11"/>
                <w:szCs w:val="11"/>
                <w:color w:val="auto"/>
              </w:rPr>
            </w:pP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3"/>
                <w:szCs w:val="13"/>
                <w:color w:val="auto"/>
              </w:rPr>
              <w:t>(Gain) loss on fixed assets:</w:t>
            </w: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Equipment</w:t>
            </w:r>
          </w:p>
        </w:tc>
        <w:tc>
          <w:tcPr>
            <w:tcW w:w="700" w:type="dxa"/>
            <w:vAlign w:val="bottom"/>
          </w:tcPr>
          <w:p>
            <w:pPr>
              <w:jc w:val="right"/>
              <w:ind w:right="557"/>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22</w:t>
            </w:r>
          </w:p>
        </w:tc>
        <w:tc>
          <w:tcPr>
            <w:tcW w:w="440" w:type="dxa"/>
            <w:vAlign w:val="bottom"/>
            <w:gridSpan w:val="2"/>
          </w:tcPr>
          <w:p>
            <w:pPr>
              <w:jc w:val="right"/>
              <w:ind w:right="233"/>
              <w:spacing w:after="0" w:line="142"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line="142" w:lineRule="exact"/>
              <w:rPr>
                <w:sz w:val="20"/>
                <w:szCs w:val="20"/>
                <w:color w:val="auto"/>
              </w:rPr>
            </w:pPr>
            <w:r>
              <w:rPr>
                <w:rFonts w:ascii="Arial" w:cs="Arial" w:eastAsia="Arial" w:hAnsi="Arial"/>
                <w:sz w:val="13"/>
                <w:szCs w:val="13"/>
                <w:color w:val="auto"/>
              </w:rPr>
              <w:t>(1)</w:t>
            </w:r>
          </w:p>
        </w:tc>
        <w:tc>
          <w:tcPr>
            <w:tcW w:w="280" w:type="dxa"/>
            <w:vAlign w:val="bottom"/>
            <w:gridSpan w:val="2"/>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line="142" w:lineRule="exact"/>
              <w:rPr>
                <w:sz w:val="20"/>
                <w:szCs w:val="20"/>
                <w:color w:val="auto"/>
              </w:rPr>
            </w:pPr>
            <w:r>
              <w:rPr>
                <w:rFonts w:ascii="Arial" w:cs="Arial" w:eastAsia="Arial" w:hAnsi="Arial"/>
                <w:sz w:val="13"/>
                <w:szCs w:val="13"/>
                <w:color w:val="auto"/>
              </w:rPr>
              <w:t>(7)</w:t>
            </w:r>
          </w:p>
        </w:tc>
        <w:tc>
          <w:tcPr>
            <w:tcW w:w="340" w:type="dxa"/>
            <w:vAlign w:val="bottom"/>
            <w:gridSpan w:val="2"/>
          </w:tcPr>
          <w:p>
            <w:pPr>
              <w:jc w:val="right"/>
              <w:ind w:right="113"/>
              <w:spacing w:after="0" w:line="142"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15</w:t>
            </w:r>
          </w:p>
        </w:tc>
        <w:tc>
          <w:tcPr>
            <w:tcW w:w="440" w:type="dxa"/>
            <w:vAlign w:val="bottom"/>
            <w:gridSpan w:val="2"/>
          </w:tcPr>
          <w:p>
            <w:pPr>
              <w:jc w:val="right"/>
              <w:ind w:right="213"/>
              <w:spacing w:after="0" w:line="14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Products and Services</w:t>
            </w:r>
          </w:p>
        </w:tc>
        <w:tc>
          <w:tcPr>
            <w:tcW w:w="700" w:type="dxa"/>
            <w:vAlign w:val="bottom"/>
          </w:tcPr>
          <w:p>
            <w:pPr>
              <w:spacing w:after="0"/>
              <w:rPr>
                <w:sz w:val="12"/>
                <w:szCs w:val="12"/>
                <w:color w:val="auto"/>
              </w:rPr>
            </w:pPr>
          </w:p>
        </w:tc>
        <w:tc>
          <w:tcPr>
            <w:tcW w:w="480" w:type="dxa"/>
            <w:vAlign w:val="bottom"/>
          </w:tcPr>
          <w:p>
            <w:pPr>
              <w:jc w:val="right"/>
              <w:ind w:right="37"/>
              <w:spacing w:after="0" w:line="142"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17"/>
              <w:spacing w:after="0" w:line="142"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7"/>
              <w:spacing w:after="0" w:line="142"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17"/>
              <w:spacing w:after="0" w:line="142"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37"/>
              <w:spacing w:after="0" w:line="142"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0"/>
        </w:trPr>
        <w:tc>
          <w:tcPr>
            <w:tcW w:w="4960" w:type="dxa"/>
            <w:vAlign w:val="bottom"/>
          </w:tcPr>
          <w:p>
            <w:pPr>
              <w:ind w:left="80"/>
              <w:spacing w:after="0"/>
              <w:rPr>
                <w:sz w:val="20"/>
                <w:szCs w:val="20"/>
                <w:color w:val="auto"/>
              </w:rPr>
            </w:pPr>
            <w:r>
              <w:rPr>
                <w:rFonts w:ascii="Arial" w:cs="Arial" w:eastAsia="Arial" w:hAnsi="Arial"/>
                <w:sz w:val="13"/>
                <w:szCs w:val="13"/>
                <w:color w:val="auto"/>
              </w:rPr>
              <w:t>Corporate</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4"/>
        </w:trPr>
        <w:tc>
          <w:tcPr>
            <w:tcW w:w="4960" w:type="dxa"/>
            <w:vAlign w:val="bottom"/>
          </w:tcPr>
          <w:p>
            <w:pPr>
              <w:spacing w:after="0" w:line="134" w:lineRule="exact"/>
              <w:rPr>
                <w:sz w:val="20"/>
                <w:szCs w:val="20"/>
                <w:color w:val="auto"/>
              </w:rPr>
            </w:pPr>
            <w:r>
              <w:rPr>
                <w:rFonts w:ascii="Arial" w:cs="Arial" w:eastAsia="Arial" w:hAnsi="Arial"/>
                <w:sz w:val="13"/>
                <w:szCs w:val="13"/>
                <w:color w:val="auto"/>
              </w:rPr>
              <w:t>Total (gain) loss on fixed assets</w:t>
            </w:r>
          </w:p>
        </w:tc>
        <w:tc>
          <w:tcPr>
            <w:tcW w:w="700" w:type="dxa"/>
            <w:vAlign w:val="bottom"/>
            <w:tcBorders>
              <w:bottom w:val="single" w:sz="8" w:color="auto"/>
            </w:tcBorders>
          </w:tcPr>
          <w:p>
            <w:pPr>
              <w:jc w:val="right"/>
              <w:ind w:right="557"/>
              <w:spacing w:after="0" w:line="134" w:lineRule="exact"/>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3"/>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ind w:right="17"/>
              <w:spacing w:after="0" w:line="134"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tcBorders>
              <w:bottom w:val="single" w:sz="8" w:color="auto"/>
            </w:tcBorders>
          </w:tcPr>
          <w:p>
            <w:pPr>
              <w:jc w:val="right"/>
              <w:ind w:right="17"/>
              <w:spacing w:after="0" w:line="134"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1"/>
                <w:szCs w:val="11"/>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tcPr>
          <w:p>
            <w:pPr>
              <w:jc w:val="right"/>
              <w:ind w:right="17"/>
              <w:spacing w:after="0" w:line="134"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tcPr>
          <w:p>
            <w:pPr>
              <w:jc w:val="right"/>
              <w:ind w:right="37"/>
              <w:spacing w:after="0" w:line="134"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3"/>
                <w:szCs w:val="13"/>
                <w:color w:val="auto"/>
              </w:rPr>
              <w:t>Adjusted operating profit:</w:t>
            </w: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Equipment</w:t>
            </w:r>
          </w:p>
        </w:tc>
        <w:tc>
          <w:tcPr>
            <w:tcW w:w="700" w:type="dxa"/>
            <w:vAlign w:val="bottom"/>
          </w:tcPr>
          <w:p>
            <w:pPr>
              <w:jc w:val="right"/>
              <w:ind w:right="557"/>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158</w:t>
            </w:r>
          </w:p>
        </w:tc>
        <w:tc>
          <w:tcPr>
            <w:tcW w:w="440" w:type="dxa"/>
            <w:vAlign w:val="bottom"/>
            <w:gridSpan w:val="2"/>
          </w:tcPr>
          <w:p>
            <w:pPr>
              <w:jc w:val="right"/>
              <w:ind w:right="233"/>
              <w:spacing w:after="0" w:line="142"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150</w:t>
            </w:r>
          </w:p>
        </w:tc>
        <w:tc>
          <w:tcPr>
            <w:tcW w:w="280" w:type="dxa"/>
            <w:vAlign w:val="bottom"/>
            <w:gridSpan w:val="2"/>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172</w:t>
            </w:r>
          </w:p>
        </w:tc>
        <w:tc>
          <w:tcPr>
            <w:tcW w:w="340" w:type="dxa"/>
            <w:vAlign w:val="bottom"/>
            <w:gridSpan w:val="2"/>
          </w:tcPr>
          <w:p>
            <w:pPr>
              <w:jc w:val="right"/>
              <w:ind w:right="113"/>
              <w:spacing w:after="0" w:line="142"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432</w:t>
            </w:r>
          </w:p>
        </w:tc>
        <w:tc>
          <w:tcPr>
            <w:tcW w:w="440" w:type="dxa"/>
            <w:vAlign w:val="bottom"/>
            <w:gridSpan w:val="2"/>
          </w:tcPr>
          <w:p>
            <w:pPr>
              <w:jc w:val="right"/>
              <w:ind w:right="213"/>
              <w:spacing w:after="0" w:line="14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Products and Services</w:t>
            </w:r>
          </w:p>
        </w:tc>
        <w:tc>
          <w:tcPr>
            <w:tcW w:w="70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91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77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81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207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50"/>
        </w:trPr>
        <w:tc>
          <w:tcPr>
            <w:tcW w:w="4960" w:type="dxa"/>
            <w:vAlign w:val="bottom"/>
          </w:tcPr>
          <w:p>
            <w:pPr>
              <w:ind w:left="80"/>
              <w:spacing w:after="0"/>
              <w:rPr>
                <w:sz w:val="20"/>
                <w:szCs w:val="20"/>
                <w:color w:val="auto"/>
              </w:rPr>
            </w:pPr>
            <w:r>
              <w:rPr>
                <w:rFonts w:ascii="Arial" w:cs="Arial" w:eastAsia="Arial" w:hAnsi="Arial"/>
                <w:sz w:val="13"/>
                <w:szCs w:val="13"/>
                <w:color w:val="auto"/>
              </w:rPr>
              <w:t>Eliminations and corporate costs</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34"/>
        </w:trPr>
        <w:tc>
          <w:tcPr>
            <w:tcW w:w="4960" w:type="dxa"/>
            <w:vAlign w:val="bottom"/>
          </w:tcPr>
          <w:p>
            <w:pPr>
              <w:spacing w:after="0" w:line="134" w:lineRule="exact"/>
              <w:rPr>
                <w:sz w:val="20"/>
                <w:szCs w:val="20"/>
                <w:color w:val="auto"/>
              </w:rPr>
            </w:pPr>
            <w:r>
              <w:rPr>
                <w:rFonts w:ascii="Arial" w:cs="Arial" w:eastAsia="Arial" w:hAnsi="Arial"/>
                <w:sz w:val="13"/>
                <w:szCs w:val="13"/>
                <w:color w:val="auto"/>
              </w:rPr>
              <w:t>Adjusted operating profit</w:t>
            </w:r>
          </w:p>
        </w:tc>
        <w:tc>
          <w:tcPr>
            <w:tcW w:w="700" w:type="dxa"/>
            <w:vAlign w:val="bottom"/>
            <w:tcBorders>
              <w:bottom w:val="single" w:sz="8" w:color="auto"/>
            </w:tcBorders>
          </w:tcPr>
          <w:p>
            <w:pPr>
              <w:jc w:val="right"/>
              <w:ind w:right="557"/>
              <w:spacing w:after="0" w:line="134" w:lineRule="exact"/>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188</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3"/>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169</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190</w:t>
            </w:r>
          </w:p>
        </w:tc>
        <w:tc>
          <w:tcPr>
            <w:tcW w:w="120" w:type="dxa"/>
            <w:vAlign w:val="bottom"/>
          </w:tcPr>
          <w:p>
            <w:pPr>
              <w:spacing w:after="0"/>
              <w:rPr>
                <w:sz w:val="11"/>
                <w:szCs w:val="11"/>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463</w:t>
            </w:r>
          </w:p>
        </w:tc>
        <w:tc>
          <w:tcPr>
            <w:tcW w:w="120" w:type="dxa"/>
            <w:vAlign w:val="bottom"/>
          </w:tcPr>
          <w:p>
            <w:pPr>
              <w:spacing w:after="0"/>
              <w:rPr>
                <w:sz w:val="11"/>
                <w:szCs w:val="11"/>
                <w:color w:val="auto"/>
              </w:rPr>
            </w:pP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3"/>
                <w:szCs w:val="13"/>
                <w:color w:val="auto"/>
              </w:rPr>
              <w:t>Depreciation &amp; amortization:</w:t>
            </w: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Equipment</w:t>
            </w:r>
          </w:p>
        </w:tc>
        <w:tc>
          <w:tcPr>
            <w:tcW w:w="700" w:type="dxa"/>
            <w:vAlign w:val="bottom"/>
          </w:tcPr>
          <w:p>
            <w:pPr>
              <w:jc w:val="right"/>
              <w:ind w:right="557"/>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29</w:t>
            </w:r>
          </w:p>
        </w:tc>
        <w:tc>
          <w:tcPr>
            <w:tcW w:w="440" w:type="dxa"/>
            <w:vAlign w:val="bottom"/>
            <w:gridSpan w:val="2"/>
          </w:tcPr>
          <w:p>
            <w:pPr>
              <w:jc w:val="right"/>
              <w:ind w:right="233"/>
              <w:spacing w:after="0" w:line="142"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30</w:t>
            </w:r>
          </w:p>
        </w:tc>
        <w:tc>
          <w:tcPr>
            <w:tcW w:w="280" w:type="dxa"/>
            <w:vAlign w:val="bottom"/>
            <w:gridSpan w:val="2"/>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28</w:t>
            </w:r>
          </w:p>
        </w:tc>
        <w:tc>
          <w:tcPr>
            <w:tcW w:w="340" w:type="dxa"/>
            <w:vAlign w:val="bottom"/>
            <w:gridSpan w:val="2"/>
          </w:tcPr>
          <w:p>
            <w:pPr>
              <w:jc w:val="right"/>
              <w:ind w:right="113"/>
              <w:spacing w:after="0" w:line="142"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86</w:t>
            </w:r>
          </w:p>
        </w:tc>
        <w:tc>
          <w:tcPr>
            <w:tcW w:w="440" w:type="dxa"/>
            <w:vAlign w:val="bottom"/>
            <w:gridSpan w:val="2"/>
          </w:tcPr>
          <w:p>
            <w:pPr>
              <w:jc w:val="right"/>
              <w:ind w:right="213"/>
              <w:spacing w:after="0" w:line="14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Products and Services</w:t>
            </w:r>
          </w:p>
        </w:tc>
        <w:tc>
          <w:tcPr>
            <w:tcW w:w="70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62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63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186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50"/>
        </w:trPr>
        <w:tc>
          <w:tcPr>
            <w:tcW w:w="4960" w:type="dxa"/>
            <w:vAlign w:val="bottom"/>
          </w:tcPr>
          <w:p>
            <w:pPr>
              <w:ind w:left="80"/>
              <w:spacing w:after="0"/>
              <w:rPr>
                <w:sz w:val="20"/>
                <w:szCs w:val="20"/>
                <w:color w:val="auto"/>
              </w:rPr>
            </w:pPr>
            <w:r>
              <w:rPr>
                <w:rFonts w:ascii="Arial" w:cs="Arial" w:eastAsia="Arial" w:hAnsi="Arial"/>
                <w:sz w:val="13"/>
                <w:szCs w:val="13"/>
                <w:color w:val="auto"/>
              </w:rPr>
              <w:t>Corporate</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4"/>
        </w:trPr>
        <w:tc>
          <w:tcPr>
            <w:tcW w:w="4960" w:type="dxa"/>
            <w:vAlign w:val="bottom"/>
          </w:tcPr>
          <w:p>
            <w:pPr>
              <w:spacing w:after="0" w:line="134" w:lineRule="exact"/>
              <w:rPr>
                <w:sz w:val="20"/>
                <w:szCs w:val="20"/>
                <w:color w:val="auto"/>
              </w:rPr>
            </w:pPr>
            <w:r>
              <w:rPr>
                <w:rFonts w:ascii="Arial" w:cs="Arial" w:eastAsia="Arial" w:hAnsi="Arial"/>
                <w:sz w:val="13"/>
                <w:szCs w:val="13"/>
                <w:color w:val="auto"/>
              </w:rPr>
              <w:t>Total depreciation &amp; amortization</w:t>
            </w:r>
          </w:p>
        </w:tc>
        <w:tc>
          <w:tcPr>
            <w:tcW w:w="700" w:type="dxa"/>
            <w:vAlign w:val="bottom"/>
            <w:tcBorders>
              <w:bottom w:val="single" w:sz="8" w:color="auto"/>
            </w:tcBorders>
          </w:tcPr>
          <w:p>
            <w:pPr>
              <w:jc w:val="right"/>
              <w:ind w:right="557"/>
              <w:spacing w:after="0" w:line="134" w:lineRule="exact"/>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93</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3"/>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89</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93</w:t>
            </w:r>
          </w:p>
        </w:tc>
        <w:tc>
          <w:tcPr>
            <w:tcW w:w="120" w:type="dxa"/>
            <w:vAlign w:val="bottom"/>
          </w:tcPr>
          <w:p>
            <w:pPr>
              <w:spacing w:after="0"/>
              <w:rPr>
                <w:sz w:val="11"/>
                <w:szCs w:val="11"/>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278</w:t>
            </w:r>
          </w:p>
        </w:tc>
        <w:tc>
          <w:tcPr>
            <w:tcW w:w="120" w:type="dxa"/>
            <w:vAlign w:val="bottom"/>
          </w:tcPr>
          <w:p>
            <w:pPr>
              <w:spacing w:after="0"/>
              <w:rPr>
                <w:sz w:val="11"/>
                <w:szCs w:val="11"/>
                <w:color w:val="auto"/>
              </w:rPr>
            </w:pP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3"/>
                <w:szCs w:val="13"/>
                <w:color w:val="auto"/>
              </w:rPr>
              <w:t>Adjusted EBITDA:</w:t>
            </w: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Equipment</w:t>
            </w:r>
          </w:p>
        </w:tc>
        <w:tc>
          <w:tcPr>
            <w:tcW w:w="700" w:type="dxa"/>
            <w:vAlign w:val="bottom"/>
          </w:tcPr>
          <w:p>
            <w:pPr>
              <w:jc w:val="right"/>
              <w:ind w:right="557"/>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187</w:t>
            </w:r>
          </w:p>
        </w:tc>
        <w:tc>
          <w:tcPr>
            <w:tcW w:w="440" w:type="dxa"/>
            <w:vAlign w:val="bottom"/>
            <w:gridSpan w:val="2"/>
          </w:tcPr>
          <w:p>
            <w:pPr>
              <w:jc w:val="right"/>
              <w:ind w:right="233"/>
              <w:spacing w:after="0" w:line="142"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180</w:t>
            </w:r>
          </w:p>
        </w:tc>
        <w:tc>
          <w:tcPr>
            <w:tcW w:w="280" w:type="dxa"/>
            <w:vAlign w:val="bottom"/>
            <w:gridSpan w:val="2"/>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200</w:t>
            </w:r>
          </w:p>
        </w:tc>
        <w:tc>
          <w:tcPr>
            <w:tcW w:w="340" w:type="dxa"/>
            <w:vAlign w:val="bottom"/>
            <w:gridSpan w:val="2"/>
          </w:tcPr>
          <w:p>
            <w:pPr>
              <w:jc w:val="right"/>
              <w:ind w:right="113"/>
              <w:spacing w:after="0" w:line="142"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518</w:t>
            </w:r>
          </w:p>
        </w:tc>
        <w:tc>
          <w:tcPr>
            <w:tcW w:w="440" w:type="dxa"/>
            <w:vAlign w:val="bottom"/>
            <w:gridSpan w:val="2"/>
          </w:tcPr>
          <w:p>
            <w:pPr>
              <w:jc w:val="right"/>
              <w:ind w:right="213"/>
              <w:spacing w:after="0" w:line="14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Products and Services</w:t>
            </w:r>
          </w:p>
        </w:tc>
        <w:tc>
          <w:tcPr>
            <w:tcW w:w="70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153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144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393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50"/>
        </w:trPr>
        <w:tc>
          <w:tcPr>
            <w:tcW w:w="4960" w:type="dxa"/>
            <w:vAlign w:val="bottom"/>
          </w:tcPr>
          <w:p>
            <w:pPr>
              <w:ind w:left="80"/>
              <w:spacing w:after="0"/>
              <w:rPr>
                <w:sz w:val="20"/>
                <w:szCs w:val="20"/>
                <w:color w:val="auto"/>
              </w:rPr>
            </w:pPr>
            <w:r>
              <w:rPr>
                <w:rFonts w:ascii="Arial" w:cs="Arial" w:eastAsia="Arial" w:hAnsi="Arial"/>
                <w:sz w:val="13"/>
                <w:szCs w:val="13"/>
                <w:color w:val="auto"/>
              </w:rPr>
              <w:t>Eliminations and corporate costs</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34"/>
        </w:trPr>
        <w:tc>
          <w:tcPr>
            <w:tcW w:w="4960" w:type="dxa"/>
            <w:vAlign w:val="bottom"/>
          </w:tcPr>
          <w:p>
            <w:pPr>
              <w:spacing w:after="0" w:line="134" w:lineRule="exact"/>
              <w:rPr>
                <w:sz w:val="20"/>
                <w:szCs w:val="20"/>
                <w:color w:val="auto"/>
              </w:rPr>
            </w:pPr>
            <w:r>
              <w:rPr>
                <w:rFonts w:ascii="Arial" w:cs="Arial" w:eastAsia="Arial" w:hAnsi="Arial"/>
                <w:sz w:val="13"/>
                <w:szCs w:val="13"/>
                <w:color w:val="auto"/>
              </w:rPr>
              <w:t>Total Adjusted EBITDA</w:t>
            </w:r>
          </w:p>
        </w:tc>
        <w:tc>
          <w:tcPr>
            <w:tcW w:w="700" w:type="dxa"/>
            <w:vAlign w:val="bottom"/>
            <w:tcBorders>
              <w:bottom w:val="single" w:sz="8" w:color="auto"/>
            </w:tcBorders>
          </w:tcPr>
          <w:p>
            <w:pPr>
              <w:jc w:val="right"/>
              <w:ind w:right="557"/>
              <w:spacing w:after="0" w:line="134" w:lineRule="exact"/>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281</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3"/>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258</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283</w:t>
            </w:r>
          </w:p>
        </w:tc>
        <w:tc>
          <w:tcPr>
            <w:tcW w:w="120" w:type="dxa"/>
            <w:vAlign w:val="bottom"/>
          </w:tcPr>
          <w:p>
            <w:pPr>
              <w:spacing w:after="0"/>
              <w:rPr>
                <w:sz w:val="11"/>
                <w:szCs w:val="11"/>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741</w:t>
            </w:r>
          </w:p>
        </w:tc>
        <w:tc>
          <w:tcPr>
            <w:tcW w:w="120" w:type="dxa"/>
            <w:vAlign w:val="bottom"/>
          </w:tcPr>
          <w:p>
            <w:pPr>
              <w:spacing w:after="0"/>
              <w:rPr>
                <w:sz w:val="11"/>
                <w:szCs w:val="11"/>
                <w:color w:val="auto"/>
              </w:rPr>
            </w:pP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tcPr>
          <w:p>
            <w:pPr>
              <w:jc w:val="right"/>
              <w:ind w:right="77"/>
              <w:spacing w:after="0" w:line="134" w:lineRule="exact"/>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3"/>
                <w:szCs w:val="13"/>
                <w:color w:val="auto"/>
              </w:rPr>
              <w:t>Adjusted EBITDA %:</w:t>
            </w: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Equipment</w:t>
            </w:r>
          </w:p>
        </w:tc>
        <w:tc>
          <w:tcPr>
            <w:tcW w:w="7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15.3%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14.4%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16.4%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14.3%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line="142" w:lineRule="exact"/>
              <w:rPr>
                <w:sz w:val="20"/>
                <w:szCs w:val="20"/>
                <w:color w:val="auto"/>
              </w:rPr>
            </w:pPr>
            <w:r>
              <w:rPr>
                <w:rFonts w:ascii="Arial" w:cs="Arial" w:eastAsia="Arial" w:hAnsi="Arial"/>
                <w:sz w:val="13"/>
                <w:szCs w:val="13"/>
                <w:color w:val="auto"/>
              </w:rPr>
              <w:t>Energy Products and Services</w:t>
            </w:r>
          </w:p>
        </w:tc>
        <w:tc>
          <w:tcPr>
            <w:tcW w:w="7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14.5%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13.9%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14.8%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13.4%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50"/>
        </w:trPr>
        <w:tc>
          <w:tcPr>
            <w:tcW w:w="4960" w:type="dxa"/>
            <w:vAlign w:val="bottom"/>
          </w:tcPr>
          <w:p>
            <w:pPr>
              <w:ind w:left="80"/>
              <w:spacing w:after="0"/>
              <w:rPr>
                <w:sz w:val="20"/>
                <w:szCs w:val="20"/>
                <w:color w:val="auto"/>
              </w:rPr>
            </w:pPr>
            <w:r>
              <w:rPr>
                <w:rFonts w:ascii="Arial" w:cs="Arial" w:eastAsia="Arial" w:hAnsi="Arial"/>
                <w:sz w:val="13"/>
                <w:szCs w:val="13"/>
                <w:color w:val="auto"/>
              </w:rPr>
              <w:t>Eliminations and corporate costs</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960" w:type="dxa"/>
            <w:vAlign w:val="bottom"/>
          </w:tcPr>
          <w:p>
            <w:pPr>
              <w:spacing w:after="0" w:line="134" w:lineRule="exact"/>
              <w:rPr>
                <w:sz w:val="20"/>
                <w:szCs w:val="20"/>
                <w:color w:val="auto"/>
              </w:rPr>
            </w:pPr>
            <w:r>
              <w:rPr>
                <w:rFonts w:ascii="Arial" w:cs="Arial" w:eastAsia="Arial" w:hAnsi="Arial"/>
                <w:sz w:val="13"/>
                <w:szCs w:val="13"/>
                <w:color w:val="auto"/>
              </w:rPr>
              <w:t>Total Adjusted EBITDA %</w:t>
            </w:r>
          </w:p>
        </w:tc>
        <w:tc>
          <w:tcPr>
            <w:tcW w:w="7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12.6%</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11.9%</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13.3%</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11.6%</w:t>
            </w: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96" w:right="31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9"/>
          <w:szCs w:val="19"/>
          <w:b w:val="1"/>
          <w:bCs w:val="1"/>
          <w:color w:val="auto"/>
        </w:rPr>
        <w:t>NOV INC.</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RECONCILIATION OF GAAP TO NON-GAAP MEASURES, CONT. (Unaudited)</w:t>
      </w:r>
    </w:p>
    <w:p>
      <w:pPr>
        <w:jc w:val="center"/>
        <w:ind w:right="-59"/>
        <w:spacing w:after="0"/>
        <w:rPr>
          <w:sz w:val="20"/>
          <w:szCs w:val="20"/>
          <w:color w:val="auto"/>
        </w:rPr>
      </w:pPr>
      <w:r>
        <w:rPr>
          <w:rFonts w:ascii="Arial" w:cs="Arial" w:eastAsia="Arial" w:hAnsi="Arial"/>
          <w:sz w:val="19"/>
          <w:szCs w:val="19"/>
          <w:b w:val="1"/>
          <w:bCs w:val="1"/>
          <w:color w:val="auto"/>
        </w:rPr>
        <w:t>(In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color w:val="auto"/>
              </w:rPr>
              <w:t>Three Months Ended</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6"/>
          </w:tcPr>
          <w:p>
            <w:pPr>
              <w:jc w:val="right"/>
              <w:ind w:right="620"/>
              <w:spacing w:after="0"/>
              <w:rPr>
                <w:sz w:val="20"/>
                <w:szCs w:val="20"/>
                <w:color w:val="auto"/>
              </w:rPr>
            </w:pPr>
            <w:r>
              <w:rPr>
                <w:rFonts w:ascii="Arial" w:cs="Arial" w:eastAsia="Arial" w:hAnsi="Arial"/>
                <w:sz w:val="13"/>
                <w:szCs w:val="13"/>
                <w:color w:val="auto"/>
              </w:rPr>
              <w:t>Nine Months Ended</w:t>
            </w:r>
          </w:p>
        </w:tc>
        <w:tc>
          <w:tcPr>
            <w:tcW w:w="0" w:type="dxa"/>
            <w:vAlign w:val="bottom"/>
          </w:tcPr>
          <w:p>
            <w:pPr>
              <w:spacing w:after="0"/>
              <w:rPr>
                <w:sz w:val="1"/>
                <w:szCs w:val="1"/>
                <w:color w:val="auto"/>
              </w:rPr>
            </w:pPr>
          </w:p>
        </w:tc>
      </w:tr>
      <w:tr>
        <w:trPr>
          <w:trHeight w:val="134"/>
        </w:trPr>
        <w:tc>
          <w:tcPr>
            <w:tcW w:w="5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4"/>
          </w:tcPr>
          <w:p>
            <w:pPr>
              <w:jc w:val="right"/>
              <w:spacing w:after="0" w:line="134" w:lineRule="exact"/>
              <w:rPr>
                <w:sz w:val="20"/>
                <w:szCs w:val="20"/>
                <w:color w:val="auto"/>
              </w:rPr>
            </w:pPr>
            <w:r>
              <w:rPr>
                <w:rFonts w:ascii="Arial" w:cs="Arial" w:eastAsia="Arial" w:hAnsi="Arial"/>
                <w:sz w:val="13"/>
                <w:szCs w:val="13"/>
                <w:color w:val="auto"/>
              </w:rPr>
              <w:t>September 30,</w:t>
            </w: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420"/>
              <w:spacing w:after="0" w:line="134" w:lineRule="exact"/>
              <w:rPr>
                <w:sz w:val="20"/>
                <w:szCs w:val="20"/>
                <w:color w:val="auto"/>
              </w:rPr>
            </w:pPr>
            <w:r>
              <w:rPr>
                <w:rFonts w:ascii="Arial" w:cs="Arial" w:eastAsia="Arial" w:hAnsi="Arial"/>
                <w:sz w:val="13"/>
                <w:szCs w:val="13"/>
                <w:color w:val="auto"/>
              </w:rPr>
              <w:t>June 30,</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spacing w:after="0" w:line="134" w:lineRule="exact"/>
              <w:rPr>
                <w:sz w:val="20"/>
                <w:szCs w:val="20"/>
                <w:color w:val="auto"/>
              </w:rPr>
            </w:pPr>
            <w:r>
              <w:rPr>
                <w:rFonts w:ascii="Arial" w:cs="Arial" w:eastAsia="Arial" w:hAnsi="Arial"/>
                <w:sz w:val="13"/>
                <w:szCs w:val="13"/>
                <w:color w:val="auto"/>
              </w:rPr>
              <w:t>September 30,</w:t>
            </w: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020" w:type="dxa"/>
            <w:vAlign w:val="bottom"/>
            <w:vMerge w:val="restart"/>
          </w:tcPr>
          <w:p>
            <w:pPr>
              <w:spacing w:after="0"/>
              <w:rPr>
                <w:sz w:val="20"/>
                <w:szCs w:val="20"/>
                <w:color w:val="auto"/>
              </w:rPr>
            </w:pPr>
            <w:r>
              <w:rPr>
                <w:rFonts w:ascii="Arial" w:cs="Arial" w:eastAsia="Arial" w:hAnsi="Arial"/>
                <w:sz w:val="13"/>
                <w:szCs w:val="13"/>
                <w:color w:val="auto"/>
              </w:rPr>
              <w:t>Reconciliation of Adjusted operating profit and Adjusted EBITDA:</w:t>
            </w:r>
          </w:p>
        </w:tc>
        <w:tc>
          <w:tcPr>
            <w:tcW w:w="2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2026</w:t>
            </w: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17"/>
              <w:spacing w:after="0" w:line="134" w:lineRule="exact"/>
              <w:rPr>
                <w:sz w:val="20"/>
                <w:szCs w:val="20"/>
                <w:color w:val="auto"/>
              </w:rPr>
            </w:pPr>
            <w:r>
              <w:rPr>
                <w:rFonts w:ascii="Arial" w:cs="Arial" w:eastAsia="Arial" w:hAnsi="Arial"/>
                <w:sz w:val="13"/>
                <w:szCs w:val="13"/>
                <w:color w:val="auto"/>
              </w:rPr>
              <w:t>2025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7"/>
              <w:spacing w:after="0" w:line="134" w:lineRule="exact"/>
              <w:rPr>
                <w:sz w:val="20"/>
                <w:szCs w:val="20"/>
                <w:color w:val="auto"/>
              </w:rPr>
            </w:pPr>
            <w:r>
              <w:rPr>
                <w:rFonts w:ascii="Arial" w:cs="Arial" w:eastAsia="Arial" w:hAnsi="Arial"/>
                <w:sz w:val="13"/>
                <w:szCs w:val="13"/>
                <w:color w:val="auto"/>
              </w:rPr>
              <w:t>2026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17"/>
              <w:spacing w:after="0" w:line="134" w:lineRule="exact"/>
              <w:rPr>
                <w:sz w:val="20"/>
                <w:szCs w:val="20"/>
                <w:color w:val="auto"/>
              </w:rPr>
            </w:pPr>
            <w:r>
              <w:rPr>
                <w:rFonts w:ascii="Arial" w:cs="Arial" w:eastAsia="Arial" w:hAnsi="Arial"/>
                <w:sz w:val="13"/>
                <w:szCs w:val="13"/>
                <w:color w:val="auto"/>
              </w:rPr>
              <w:t>2026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17"/>
              <w:spacing w:after="0" w:line="134" w:lineRule="exact"/>
              <w:rPr>
                <w:sz w:val="20"/>
                <w:szCs w:val="20"/>
                <w:color w:val="auto"/>
              </w:rPr>
            </w:pPr>
            <w:r>
              <w:rPr>
                <w:rFonts w:ascii="Arial" w:cs="Arial" w:eastAsia="Arial" w:hAnsi="Arial"/>
                <w:sz w:val="13"/>
                <w:szCs w:val="13"/>
                <w:color w:val="auto"/>
                <w:w w:val="96"/>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0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020" w:type="dxa"/>
            <w:vAlign w:val="bottom"/>
          </w:tcPr>
          <w:p>
            <w:pPr>
              <w:ind w:left="80"/>
              <w:spacing w:after="0" w:line="142" w:lineRule="exact"/>
              <w:rPr>
                <w:sz w:val="20"/>
                <w:szCs w:val="20"/>
                <w:color w:val="auto"/>
              </w:rPr>
            </w:pPr>
            <w:r>
              <w:rPr>
                <w:rFonts w:ascii="Arial" w:cs="Arial" w:eastAsia="Arial" w:hAnsi="Arial"/>
                <w:sz w:val="13"/>
                <w:szCs w:val="13"/>
                <w:color w:val="auto"/>
              </w:rPr>
              <w:t>GAAP net income attributable to Company</w:t>
            </w:r>
          </w:p>
        </w:tc>
        <w:tc>
          <w:tcPr>
            <w:tcW w:w="700" w:type="dxa"/>
            <w:vAlign w:val="bottom"/>
            <w:gridSpan w:val="2"/>
          </w:tcPr>
          <w:p>
            <w:pPr>
              <w:jc w:val="right"/>
              <w:ind w:right="565"/>
              <w:spacing w:after="0" w:line="142" w:lineRule="exact"/>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460" w:type="dxa"/>
            <w:vAlign w:val="bottom"/>
            <w:gridSpan w:val="2"/>
          </w:tcPr>
          <w:p>
            <w:pPr>
              <w:jc w:val="right"/>
              <w:ind w:right="197"/>
              <w:spacing w:after="0" w:line="142"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2"/>
                <w:szCs w:val="12"/>
                <w:color w:val="auto"/>
              </w:rPr>
            </w:pPr>
          </w:p>
        </w:tc>
        <w:tc>
          <w:tcPr>
            <w:tcW w:w="280" w:type="dxa"/>
            <w:vAlign w:val="bottom"/>
            <w:gridSpan w:val="2"/>
          </w:tcPr>
          <w:p>
            <w:pPr>
              <w:jc w:val="right"/>
              <w:ind w:right="73"/>
              <w:spacing w:after="0" w:line="142"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112</w:t>
            </w:r>
          </w:p>
        </w:tc>
        <w:tc>
          <w:tcPr>
            <w:tcW w:w="120" w:type="dxa"/>
            <w:vAlign w:val="bottom"/>
          </w:tcPr>
          <w:p>
            <w:pPr>
              <w:spacing w:after="0"/>
              <w:rPr>
                <w:sz w:val="12"/>
                <w:szCs w:val="12"/>
                <w:color w:val="auto"/>
              </w:rPr>
            </w:pPr>
          </w:p>
        </w:tc>
        <w:tc>
          <w:tcPr>
            <w:tcW w:w="320" w:type="dxa"/>
            <w:vAlign w:val="bottom"/>
            <w:gridSpan w:val="2"/>
          </w:tcPr>
          <w:p>
            <w:pPr>
              <w:jc w:val="right"/>
              <w:ind w:right="113"/>
              <w:spacing w:after="0" w:line="142"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221</w:t>
            </w:r>
          </w:p>
        </w:tc>
        <w:tc>
          <w:tcPr>
            <w:tcW w:w="140" w:type="dxa"/>
            <w:vAlign w:val="bottom"/>
          </w:tcPr>
          <w:p>
            <w:pPr>
              <w:spacing w:after="0"/>
              <w:rPr>
                <w:sz w:val="12"/>
                <w:szCs w:val="12"/>
                <w:color w:val="auto"/>
              </w:rPr>
            </w:pPr>
          </w:p>
        </w:tc>
        <w:tc>
          <w:tcPr>
            <w:tcW w:w="420" w:type="dxa"/>
            <w:vAlign w:val="bottom"/>
            <w:gridSpan w:val="2"/>
          </w:tcPr>
          <w:p>
            <w:pPr>
              <w:jc w:val="right"/>
              <w:ind w:right="233"/>
              <w:spacing w:after="0" w:line="142"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ind w:left="80"/>
              <w:spacing w:after="0" w:line="142" w:lineRule="exact"/>
              <w:rPr>
                <w:sz w:val="20"/>
                <w:szCs w:val="20"/>
                <w:color w:val="auto"/>
              </w:rPr>
            </w:pPr>
            <w:r>
              <w:rPr>
                <w:rFonts w:ascii="Arial" w:cs="Arial" w:eastAsia="Arial" w:hAnsi="Arial"/>
                <w:sz w:val="13"/>
                <w:szCs w:val="13"/>
                <w:color w:val="auto"/>
              </w:rPr>
              <w:t>Noncontrolling interests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ind w:left="80"/>
              <w:spacing w:after="0" w:line="142" w:lineRule="exact"/>
              <w:rPr>
                <w:sz w:val="20"/>
                <w:szCs w:val="20"/>
                <w:color w:val="auto"/>
              </w:rPr>
            </w:pPr>
            <w:r>
              <w:rPr>
                <w:rFonts w:ascii="Arial" w:cs="Arial" w:eastAsia="Arial" w:hAnsi="Arial"/>
                <w:sz w:val="13"/>
                <w:szCs w:val="13"/>
                <w:color w:val="auto"/>
              </w:rPr>
              <w:t>Provision for income taxes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ind w:left="80"/>
              <w:spacing w:after="0" w:line="142" w:lineRule="exact"/>
              <w:rPr>
                <w:sz w:val="20"/>
                <w:szCs w:val="20"/>
                <w:color w:val="auto"/>
              </w:rPr>
            </w:pPr>
            <w:r>
              <w:rPr>
                <w:rFonts w:ascii="Arial" w:cs="Arial" w:eastAsia="Arial" w:hAnsi="Arial"/>
                <w:sz w:val="13"/>
                <w:szCs w:val="13"/>
                <w:color w:val="auto"/>
              </w:rPr>
              <w:t>Interest and financial costs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ind w:left="80"/>
              <w:spacing w:after="0" w:line="142" w:lineRule="exact"/>
              <w:rPr>
                <w:sz w:val="20"/>
                <w:szCs w:val="20"/>
                <w:color w:val="auto"/>
              </w:rPr>
            </w:pPr>
            <w:r>
              <w:rPr>
                <w:rFonts w:ascii="Arial" w:cs="Arial" w:eastAsia="Arial" w:hAnsi="Arial"/>
                <w:sz w:val="13"/>
                <w:szCs w:val="13"/>
                <w:color w:val="auto"/>
              </w:rPr>
              <w:t>Interest income</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42"/>
        </w:trPr>
        <w:tc>
          <w:tcPr>
            <w:tcW w:w="5020" w:type="dxa"/>
            <w:vAlign w:val="bottom"/>
          </w:tcPr>
          <w:p>
            <w:pPr>
              <w:ind w:left="80"/>
              <w:spacing w:after="0" w:line="142" w:lineRule="exact"/>
              <w:rPr>
                <w:sz w:val="20"/>
                <w:szCs w:val="20"/>
                <w:color w:val="auto"/>
              </w:rPr>
            </w:pPr>
            <w:r>
              <w:rPr>
                <w:rFonts w:ascii="Arial" w:cs="Arial" w:eastAsia="Arial" w:hAnsi="Arial"/>
                <w:sz w:val="13"/>
                <w:szCs w:val="13"/>
                <w:color w:val="auto"/>
              </w:rPr>
              <w:t>Equity loss in unconsolidated affiliates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ind w:left="80"/>
              <w:spacing w:after="0" w:line="142" w:lineRule="exact"/>
              <w:rPr>
                <w:sz w:val="20"/>
                <w:szCs w:val="20"/>
                <w:color w:val="auto"/>
              </w:rPr>
            </w:pPr>
            <w:r>
              <w:rPr>
                <w:rFonts w:ascii="Arial" w:cs="Arial" w:eastAsia="Arial" w:hAnsi="Arial"/>
                <w:sz w:val="13"/>
                <w:szCs w:val="13"/>
                <w:color w:val="auto"/>
              </w:rPr>
              <w:t>Other expense, net</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ind w:left="80"/>
              <w:spacing w:after="0" w:line="142" w:lineRule="exact"/>
              <w:rPr>
                <w:sz w:val="20"/>
                <w:szCs w:val="20"/>
                <w:color w:val="auto"/>
              </w:rPr>
            </w:pPr>
            <w:r>
              <w:rPr>
                <w:rFonts w:ascii="Arial" w:cs="Arial" w:eastAsia="Arial" w:hAnsi="Arial"/>
                <w:sz w:val="13"/>
                <w:szCs w:val="13"/>
                <w:color w:val="auto"/>
              </w:rPr>
              <w:t>(Gain) loss on fixed assets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0"/>
        </w:trPr>
        <w:tc>
          <w:tcPr>
            <w:tcW w:w="5020" w:type="dxa"/>
            <w:vAlign w:val="bottom"/>
          </w:tcPr>
          <w:p>
            <w:pPr>
              <w:ind w:left="80"/>
              <w:spacing w:after="0"/>
              <w:rPr>
                <w:sz w:val="20"/>
                <w:szCs w:val="20"/>
                <w:color w:val="auto"/>
              </w:rPr>
            </w:pPr>
            <w:r>
              <w:rPr>
                <w:rFonts w:ascii="Arial" w:cs="Arial" w:eastAsia="Arial" w:hAnsi="Arial"/>
                <w:sz w:val="13"/>
                <w:szCs w:val="13"/>
                <w:color w:val="auto"/>
              </w:rPr>
              <w:t>Pre-tax Other Items, net</w:t>
            </w:r>
          </w:p>
        </w:tc>
        <w:tc>
          <w:tcPr>
            <w:tcW w:w="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020" w:type="dxa"/>
            <w:vAlign w:val="bottom"/>
          </w:tcPr>
          <w:p>
            <w:pPr>
              <w:spacing w:after="0" w:line="126" w:lineRule="exact"/>
              <w:rPr>
                <w:sz w:val="20"/>
                <w:szCs w:val="20"/>
                <w:color w:val="auto"/>
              </w:rPr>
            </w:pPr>
            <w:r>
              <w:rPr>
                <w:rFonts w:ascii="Arial" w:cs="Arial" w:eastAsia="Arial" w:hAnsi="Arial"/>
                <w:sz w:val="13"/>
                <w:szCs w:val="13"/>
                <w:color w:val="auto"/>
              </w:rPr>
              <w:t>Adjusted operating profit</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jc w:val="right"/>
              <w:spacing w:after="0" w:line="126" w:lineRule="exact"/>
              <w:rPr>
                <w:sz w:val="20"/>
                <w:szCs w:val="20"/>
                <w:color w:val="auto"/>
              </w:rPr>
            </w:pPr>
            <w:r>
              <w:rPr>
                <w:rFonts w:ascii="Arial" w:cs="Arial" w:eastAsia="Arial" w:hAnsi="Arial"/>
                <w:sz w:val="13"/>
                <w:szCs w:val="13"/>
                <w:color w:val="auto"/>
              </w:rPr>
              <w:t>188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Arial" w:cs="Arial" w:eastAsia="Arial" w:hAnsi="Arial"/>
                <w:sz w:val="13"/>
                <w:szCs w:val="13"/>
                <w:color w:val="auto"/>
              </w:rPr>
              <w:t>169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3"/>
                <w:szCs w:val="13"/>
                <w:color w:val="auto"/>
              </w:rPr>
              <w:t>190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spacing w:after="0" w:line="126" w:lineRule="exact"/>
              <w:rPr>
                <w:sz w:val="20"/>
                <w:szCs w:val="20"/>
                <w:color w:val="auto"/>
              </w:rPr>
            </w:pPr>
            <w:r>
              <w:rPr>
                <w:rFonts w:ascii="Arial" w:cs="Arial" w:eastAsia="Arial" w:hAnsi="Arial"/>
                <w:sz w:val="13"/>
                <w:szCs w:val="13"/>
                <w:color w:val="auto"/>
              </w:rPr>
              <w:t>463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3"/>
                <w:szCs w:val="13"/>
                <w:color w:val="auto"/>
              </w:rPr>
              <w:t>497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5020" w:type="dxa"/>
            <w:vAlign w:val="bottom"/>
          </w:tcPr>
          <w:p>
            <w:pPr>
              <w:ind w:left="80"/>
              <w:spacing w:after="0"/>
              <w:rPr>
                <w:sz w:val="20"/>
                <w:szCs w:val="20"/>
                <w:color w:val="auto"/>
              </w:rPr>
            </w:pPr>
            <w:r>
              <w:rPr>
                <w:rFonts w:ascii="Arial" w:cs="Arial" w:eastAsia="Arial" w:hAnsi="Arial"/>
                <w:sz w:val="13"/>
                <w:szCs w:val="13"/>
                <w:color w:val="auto"/>
              </w:rPr>
              <w:t>Depreciation and amortization</w:t>
            </w:r>
          </w:p>
        </w:tc>
        <w:tc>
          <w:tcPr>
            <w:tcW w:w="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020" w:type="dxa"/>
            <w:vAlign w:val="bottom"/>
          </w:tcPr>
          <w:p>
            <w:pPr>
              <w:spacing w:after="0" w:line="134" w:lineRule="exact"/>
              <w:rPr>
                <w:sz w:val="20"/>
                <w:szCs w:val="20"/>
                <w:color w:val="auto"/>
              </w:rPr>
            </w:pPr>
            <w:r>
              <w:rPr>
                <w:rFonts w:ascii="Arial" w:cs="Arial" w:eastAsia="Arial" w:hAnsi="Arial"/>
                <w:sz w:val="13"/>
                <w:szCs w:val="13"/>
                <w:color w:val="auto"/>
              </w:rPr>
              <w:t>Total Adjusted EBITDA</w:t>
            </w: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565"/>
              <w:spacing w:after="0"/>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281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jc w:val="right"/>
              <w:ind w:right="197"/>
              <w:spacing w:after="0" w:line="134"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258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8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283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741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3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896" w:right="39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2"/>
      <w:numFmt w:val="bullet"/>
      <w:start w:val="1"/>
    </w:lvl>
  </w:abstractNum>
  <w:abstractNum w:abstractNumId="5">
    <w:nsid w:val="507ED7AB"/>
    <w:multiLevelType w:val="hybridMultilevel"/>
    <w:lvl w:ilvl="0">
      <w:lvlJc w:val="left"/>
      <w:lvlText w:val="(%1)"/>
      <w:numFmt w:val="decimal"/>
      <w:start w:val="71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2026-10-28T08:03:11Z</dcterms:created>
  <dcterms:modified xsi:type="dcterms:W3CDTF">2026-10-28T08:03:11Z</dcterms:modified>
</cp:coreProperties>
</file>