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688340</wp:posOffset>
            </wp:positionH>
            <wp:positionV relativeFrom="page">
              <wp:posOffset>740410</wp:posOffset>
            </wp:positionV>
            <wp:extent cx="617220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2200" cy="17145"/>
                    </a:xfrm>
                    <a:prstGeom prst="rect">
                      <a:avLst/>
                    </a:prstGeom>
                    <a:noFill/>
                  </pic:spPr>
                </pic:pic>
              </a:graphicData>
            </a:graphic>
          </wp:anchor>
        </w:drawing>
        <w:t>UNITED STATES</w:t>
      </w:r>
    </w:p>
    <w:p>
      <w:pPr>
        <w:spacing w:after="0" w:line="3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2"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5"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16"/>
          <w:szCs w:val="16"/>
          <w:b w:val="1"/>
          <w:bCs w:val="1"/>
          <w:color w:val="auto"/>
        </w:rPr>
        <w:t>___________________________</w:t>
      </w:r>
    </w:p>
    <w:p>
      <w:pPr>
        <w:spacing w:after="0" w:line="14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FORM 11-K</w:t>
      </w:r>
    </w:p>
    <w:p>
      <w:pPr>
        <w:spacing w:after="0" w:line="61"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16"/>
          <w:szCs w:val="16"/>
          <w:b w:val="1"/>
          <w:bCs w:val="1"/>
          <w:color w:val="auto"/>
        </w:rPr>
        <w:t>___________________________</w:t>
      </w:r>
    </w:p>
    <w:p>
      <w:pPr>
        <w:spacing w:after="0" w:line="21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0"/>
          <w:szCs w:val="20"/>
          <w:b w:val="1"/>
          <w:bCs w:val="1"/>
          <w:color w:val="auto"/>
        </w:rPr>
        <w:t>ANNUAL REPORT PURSUANT TO SECTION 15(d) OF THE</w:t>
      </w:r>
    </w:p>
    <w:p>
      <w:pPr>
        <w:spacing w:after="0" w:line="8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0"/>
          <w:szCs w:val="20"/>
          <w:b w:val="1"/>
          <w:bCs w:val="1"/>
          <w:color w:val="auto"/>
        </w:rPr>
        <w:t>SECURITIES EXCHANGE ACT OF 1934</w:t>
      </w:r>
    </w:p>
    <w:p>
      <w:pPr>
        <w:spacing w:after="0" w:line="168"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(Mark One)</w:t>
      </w:r>
    </w:p>
    <w:p>
      <w:pPr>
        <w:ind w:left="700" w:hanging="696"/>
        <w:spacing w:after="0" w:line="268" w:lineRule="auto"/>
        <w:tabs>
          <w:tab w:leader="none" w:pos="700" w:val="left"/>
        </w:tabs>
        <w:numPr>
          <w:ilvl w:val="0"/>
          <w:numId w:val="1"/>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Annual report pursuant to Section 15(d) of the Securities Exchange Act of 1934 (No fee required, effective October 7, 1996)</w:t>
      </w:r>
    </w:p>
    <w:p>
      <w:pPr>
        <w:spacing w:after="0" w:line="19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For the fiscal year ended December 31, 2025</w:t>
      </w:r>
    </w:p>
    <w:p>
      <w:pPr>
        <w:spacing w:after="0" w:line="215" w:lineRule="exact"/>
        <w:rPr>
          <w:sz w:val="24"/>
          <w:szCs w:val="24"/>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89" w:lineRule="exact"/>
        <w:rPr>
          <w:sz w:val="24"/>
          <w:szCs w:val="24"/>
          <w:color w:val="auto"/>
        </w:rPr>
      </w:pPr>
    </w:p>
    <w:p>
      <w:pPr>
        <w:ind w:left="880" w:right="420" w:hanging="876"/>
        <w:spacing w:after="0" w:line="249" w:lineRule="auto"/>
        <w:tabs>
          <w:tab w:leader="none" w:pos="880" w:val="left"/>
        </w:tabs>
        <w:numPr>
          <w:ilvl w:val="0"/>
          <w:numId w:val="2"/>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Transition report pursuant to Section 15(d) of the Securities Exchange Act of 1934 (No fee required)</w:t>
      </w:r>
    </w:p>
    <w:p>
      <w:pPr>
        <w:spacing w:after="0" w:line="389" w:lineRule="exact"/>
        <w:rPr>
          <w:sz w:val="24"/>
          <w:szCs w:val="24"/>
          <w:color w:val="auto"/>
        </w:rPr>
      </w:pPr>
    </w:p>
    <w:p>
      <w:pPr>
        <w:ind w:left="2560"/>
        <w:spacing w:after="0"/>
        <w:rPr>
          <w:sz w:val="20"/>
          <w:szCs w:val="20"/>
          <w:color w:val="auto"/>
        </w:rPr>
      </w:pPr>
      <w:r>
        <w:rPr>
          <w:rFonts w:ascii="Times New Roman" w:cs="Times New Roman" w:eastAsia="Times New Roman" w:hAnsi="Times New Roman"/>
          <w:sz w:val="18"/>
          <w:szCs w:val="18"/>
          <w:b w:val="1"/>
          <w:bCs w:val="1"/>
          <w:color w:val="auto"/>
        </w:rPr>
        <w:t>For the transition period from ___________ to ___________</w:t>
      </w:r>
    </w:p>
    <w:p>
      <w:pPr>
        <w:spacing w:after="0" w:line="212"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Commission file number 1-12317</w:t>
      </w:r>
    </w:p>
    <w:p>
      <w:pPr>
        <w:spacing w:after="0" w:line="22" w:lineRule="exact"/>
        <w:rPr>
          <w:sz w:val="24"/>
          <w:szCs w:val="24"/>
          <w:color w:val="auto"/>
        </w:rPr>
      </w:pPr>
    </w:p>
    <w:p>
      <w:pPr>
        <w:ind w:left="3740"/>
        <w:spacing w:after="0"/>
        <w:rPr>
          <w:sz w:val="20"/>
          <w:szCs w:val="20"/>
          <w:color w:val="auto"/>
        </w:rPr>
      </w:pPr>
      <w:r>
        <w:rPr>
          <w:rFonts w:ascii="Times New Roman" w:cs="Times New Roman" w:eastAsia="Times New Roman" w:hAnsi="Times New Roman"/>
          <w:sz w:val="16"/>
          <w:szCs w:val="16"/>
          <w:b w:val="1"/>
          <w:bCs w:val="1"/>
          <w:color w:val="auto"/>
        </w:rPr>
        <w:t>____________________________</w:t>
      </w:r>
    </w:p>
    <w:p>
      <w:pPr>
        <w:spacing w:after="0" w:line="172" w:lineRule="exact"/>
        <w:rPr>
          <w:sz w:val="24"/>
          <w:szCs w:val="24"/>
          <w:color w:val="auto"/>
        </w:rPr>
      </w:pPr>
    </w:p>
    <w:p>
      <w:pPr>
        <w:ind w:left="360" w:hanging="356"/>
        <w:spacing w:after="0"/>
        <w:tabs>
          <w:tab w:leader="none" w:pos="3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 title of the plan and the address of the plan, if different from that of the issuer named below:</w:t>
      </w:r>
    </w:p>
    <w:p>
      <w:pPr>
        <w:spacing w:after="0" w:line="207" w:lineRule="exact"/>
        <w:rPr>
          <w:rFonts w:ascii="Times New Roman" w:cs="Times New Roman" w:eastAsia="Times New Roman" w:hAnsi="Times New Roman"/>
          <w:sz w:val="18"/>
          <w:szCs w:val="18"/>
          <w:color w:val="auto"/>
        </w:rPr>
      </w:pPr>
    </w:p>
    <w:p>
      <w:pPr>
        <w:ind w:left="4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NOV Inc. 401(k) Plan</w:t>
      </w:r>
    </w:p>
    <w:p>
      <w:pPr>
        <w:spacing w:after="0" w:line="202" w:lineRule="exact"/>
        <w:rPr>
          <w:rFonts w:ascii="Times New Roman" w:cs="Times New Roman" w:eastAsia="Times New Roman" w:hAnsi="Times New Roman"/>
          <w:sz w:val="18"/>
          <w:szCs w:val="18"/>
          <w:color w:val="auto"/>
        </w:rPr>
      </w:pPr>
    </w:p>
    <w:p>
      <w:pPr>
        <w:ind w:left="360" w:hanging="356"/>
        <w:spacing w:after="0"/>
        <w:tabs>
          <w:tab w:leader="none" w:pos="3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issuer of the securities held pursuant to the plan and the address of its principal executive office:</w:t>
      </w:r>
    </w:p>
    <w:p>
      <w:pPr>
        <w:spacing w:after="0" w:line="181" w:lineRule="exact"/>
        <w:rPr>
          <w:sz w:val="24"/>
          <w:szCs w:val="24"/>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NOV Inc.</w:t>
      </w:r>
    </w:p>
    <w:p>
      <w:pPr>
        <w:spacing w:after="0" w:line="29" w:lineRule="exact"/>
        <w:rPr>
          <w:sz w:val="24"/>
          <w:szCs w:val="24"/>
          <w:color w:val="auto"/>
        </w:rPr>
      </w:pPr>
    </w:p>
    <w:p>
      <w:pPr>
        <w:ind w:left="3900"/>
        <w:spacing w:after="0"/>
        <w:rPr>
          <w:sz w:val="20"/>
          <w:szCs w:val="20"/>
          <w:color w:val="auto"/>
        </w:rPr>
      </w:pPr>
      <w:r>
        <w:rPr>
          <w:rFonts w:ascii="Times New Roman" w:cs="Times New Roman" w:eastAsia="Times New Roman" w:hAnsi="Times New Roman"/>
          <w:sz w:val="18"/>
          <w:szCs w:val="18"/>
          <w:b w:val="1"/>
          <w:bCs w:val="1"/>
          <w:color w:val="auto"/>
        </w:rPr>
        <w:t>10353 Richmond Avenue</w:t>
      </w: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Houston, Texas 77042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-429895</wp:posOffset>
            </wp:positionH>
            <wp:positionV relativeFrom="paragraph">
              <wp:posOffset>900430</wp:posOffset>
            </wp:positionV>
            <wp:extent cx="703770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37705" cy="425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116205</wp:posOffset>
            </wp:positionV>
            <wp:extent cx="617220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172200" cy="17145"/>
                    </a:xfrm>
                    <a:prstGeom prst="rect">
                      <a:avLst/>
                    </a:prstGeom>
                    <a:noFill/>
                  </pic:spPr>
                </pic:pic>
              </a:graphicData>
            </a:graphic>
          </wp:anchor>
        </w:drawing>
      </w:r>
    </w:p>
    <w:p>
      <w:pPr>
        <w:sectPr>
          <w:pgSz w:w="11900" w:h="16838" w:orient="portrait"/>
          <w:cols w:equalWidth="0" w:num="1">
            <w:col w:w="9600"/>
          </w:cols>
          <w:pgMar w:left="1080" w:top="1348" w:right="1219"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REQUIRED INFORMATION</w:t>
      </w:r>
    </w:p>
    <w:p>
      <w:pPr>
        <w:spacing w:after="0" w:line="216" w:lineRule="exact"/>
        <w:rPr>
          <w:sz w:val="20"/>
          <w:szCs w:val="20"/>
          <w:color w:val="auto"/>
        </w:rPr>
      </w:pPr>
    </w:p>
    <w:p>
      <w:pPr>
        <w:ind w:right="660"/>
        <w:spacing w:after="0" w:line="266" w:lineRule="auto"/>
        <w:rPr>
          <w:sz w:val="20"/>
          <w:szCs w:val="20"/>
          <w:color w:val="auto"/>
        </w:rPr>
      </w:pPr>
      <w:r>
        <w:rPr>
          <w:rFonts w:ascii="Times New Roman" w:cs="Times New Roman" w:eastAsia="Times New Roman" w:hAnsi="Times New Roman"/>
          <w:sz w:val="18"/>
          <w:szCs w:val="18"/>
          <w:color w:val="auto"/>
        </w:rPr>
        <w:t>The NOV Inc. 401(k) Plan (the Plan) is subject to the requirements of the Employee Retirement Income Security Act of 1974 (ERISA).</w:t>
      </w:r>
    </w:p>
    <w:p>
      <w:pPr>
        <w:spacing w:after="0" w:line="158"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color w:val="auto"/>
        </w:rPr>
        <w:t>In lieu of the requirements of Items 1, 2, and 3 of this Form 11-K, the following financial statements of the Plan, notes thereto,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the Report of Independent Registered Public Accounting Firm thereon are being filed in this Report:</w:t>
      </w:r>
    </w:p>
    <w:p>
      <w:pPr>
        <w:spacing w:after="0" w:line="266" w:lineRule="exact"/>
        <w:rPr>
          <w:sz w:val="20"/>
          <w:szCs w:val="20"/>
          <w:color w:val="auto"/>
        </w:rPr>
      </w:pPr>
    </w:p>
    <w:p>
      <w:pPr>
        <w:ind w:left="880" w:hanging="487"/>
        <w:spacing w:after="0"/>
        <w:tabs>
          <w:tab w:leader="none" w:pos="88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Report of Independent Registered Public Accounting Firm;</w:t>
      </w:r>
    </w:p>
    <w:p>
      <w:pPr>
        <w:spacing w:after="0" w:line="103" w:lineRule="exact"/>
        <w:rPr>
          <w:rFonts w:ascii="Times New Roman" w:cs="Times New Roman" w:eastAsia="Times New Roman" w:hAnsi="Times New Roman"/>
          <w:sz w:val="16"/>
          <w:szCs w:val="16"/>
          <w:color w:val="auto"/>
        </w:rPr>
      </w:pPr>
    </w:p>
    <w:p>
      <w:pPr>
        <w:ind w:left="880" w:hanging="487"/>
        <w:spacing w:after="0"/>
        <w:tabs>
          <w:tab w:leader="none" w:pos="88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Statements of Net Assets Available for Benefits – December 31, 2025 and 2024;</w:t>
      </w:r>
    </w:p>
    <w:p>
      <w:pPr>
        <w:spacing w:after="0" w:line="117" w:lineRule="exact"/>
        <w:rPr>
          <w:rFonts w:ascii="Times New Roman" w:cs="Times New Roman" w:eastAsia="Times New Roman" w:hAnsi="Times New Roman"/>
          <w:sz w:val="16"/>
          <w:szCs w:val="16"/>
          <w:color w:val="auto"/>
        </w:rPr>
      </w:pPr>
    </w:p>
    <w:p>
      <w:pPr>
        <w:ind w:left="880" w:hanging="487"/>
        <w:spacing w:after="0"/>
        <w:tabs>
          <w:tab w:leader="none" w:pos="88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Statement of Changes in Net Assets Available for Benefits – Year ended December 31, 2025; and</w:t>
      </w:r>
    </w:p>
    <w:p>
      <w:pPr>
        <w:spacing w:after="0" w:line="117" w:lineRule="exact"/>
        <w:rPr>
          <w:rFonts w:ascii="Times New Roman" w:cs="Times New Roman" w:eastAsia="Times New Roman" w:hAnsi="Times New Roman"/>
          <w:sz w:val="16"/>
          <w:szCs w:val="16"/>
          <w:color w:val="auto"/>
        </w:rPr>
      </w:pPr>
    </w:p>
    <w:p>
      <w:pPr>
        <w:ind w:left="880" w:hanging="487"/>
        <w:spacing w:after="0"/>
        <w:tabs>
          <w:tab w:leader="none" w:pos="88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Notes to Financial Statements.</w:t>
      </w:r>
    </w:p>
    <w:p>
      <w:pPr>
        <w:spacing w:after="0" w:line="212" w:lineRule="exact"/>
        <w:rPr>
          <w:sz w:val="20"/>
          <w:szCs w:val="20"/>
          <w:color w:val="auto"/>
        </w:rPr>
      </w:pPr>
    </w:p>
    <w:p>
      <w:pPr>
        <w:jc w:val="both"/>
        <w:ind w:right="700"/>
        <w:spacing w:after="0" w:line="258" w:lineRule="auto"/>
        <w:rPr>
          <w:sz w:val="20"/>
          <w:szCs w:val="20"/>
          <w:color w:val="auto"/>
        </w:rPr>
      </w:pPr>
      <w:r>
        <w:rPr>
          <w:rFonts w:ascii="Times New Roman" w:cs="Times New Roman" w:eastAsia="Times New Roman" w:hAnsi="Times New Roman"/>
          <w:sz w:val="18"/>
          <w:szCs w:val="18"/>
          <w:color w:val="auto"/>
        </w:rPr>
        <w:t>The Consent of Independent Registered Public Accounting Firms to the incorporation by reference of the foregoing financial statements in the Registration Statement on Form S-8 (No. 333-46459) pertaining to the Plan are being filed as Exhibit 23.1 to this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552450</wp:posOffset>
            </wp:positionV>
            <wp:extent cx="703770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00"/>
          </w:cols>
          <w:pgMar w:left="1080" w:top="1008" w:right="111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auto"/>
        </w:rPr>
        <w:t>FINANCIAL STATEMENTS AND SUPPLEMENTAL SCHEDULE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 Inc. 401(k) Plan</w:t>
      </w:r>
    </w:p>
    <w:p>
      <w:pPr>
        <w:spacing w:after="0" w:line="27" w:lineRule="exact"/>
        <w:rPr>
          <w:sz w:val="20"/>
          <w:szCs w:val="20"/>
          <w:color w:val="auto"/>
        </w:rPr>
      </w:pPr>
    </w:p>
    <w:p>
      <w:pPr>
        <w:ind w:right="4539"/>
        <w:spacing w:after="0" w:line="276" w:lineRule="auto"/>
        <w:rPr>
          <w:sz w:val="20"/>
          <w:szCs w:val="20"/>
          <w:color w:val="auto"/>
        </w:rPr>
      </w:pPr>
      <w:r>
        <w:rPr>
          <w:rFonts w:ascii="Times New Roman" w:cs="Times New Roman" w:eastAsia="Times New Roman" w:hAnsi="Times New Roman"/>
          <w:sz w:val="18"/>
          <w:szCs w:val="18"/>
          <w:color w:val="auto"/>
        </w:rPr>
        <w:t>December 31, 2025 and 2024, and Year Ended December 31, 2025 With Report of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542290</wp:posOffset>
            </wp:positionV>
            <wp:extent cx="703770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379"/>
          </w:cols>
          <w:pgMar w:left="1080" w:top="1012" w:right="1440"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80" w:type="dxa"/>
            <w:vAlign w:val="bottom"/>
            <w:gridSpan w:val="4"/>
          </w:tcPr>
          <w:p>
            <w:pPr>
              <w:jc w:val="center"/>
              <w:ind w:right="1920"/>
              <w:spacing w:after="0"/>
              <w:rPr>
                <w:sz w:val="20"/>
                <w:szCs w:val="20"/>
                <w:color w:val="auto"/>
              </w:rPr>
            </w:pPr>
            <w:r>
              <w:rPr>
                <w:rFonts w:ascii="Times New Roman" w:cs="Times New Roman" w:eastAsia="Times New Roman" w:hAnsi="Times New Roman"/>
                <w:sz w:val="18"/>
                <w:szCs w:val="18"/>
                <w:color w:val="auto"/>
                <w:w w:val="99"/>
              </w:rPr>
              <w:t>NOV Inc. 401(k) Plan</w:t>
            </w:r>
          </w:p>
        </w:tc>
        <w:tc>
          <w:tcPr>
            <w:tcW w:w="2220" w:type="dxa"/>
            <w:vAlign w:val="bottom"/>
          </w:tcPr>
          <w:p>
            <w:pPr>
              <w:spacing w:after="0"/>
              <w:rPr>
                <w:sz w:val="20"/>
                <w:szCs w:val="20"/>
                <w:color w:val="auto"/>
              </w:rPr>
            </w:pPr>
          </w:p>
        </w:tc>
      </w:tr>
      <w:tr>
        <w:trPr>
          <w:trHeight w:val="311"/>
        </w:trPr>
        <w:tc>
          <w:tcPr>
            <w:tcW w:w="66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6000" w:type="dxa"/>
            <w:vAlign w:val="bottom"/>
            <w:gridSpan w:val="6"/>
          </w:tcPr>
          <w:p>
            <w:pPr>
              <w:jc w:val="center"/>
              <w:ind w:right="580"/>
              <w:spacing w:after="0"/>
              <w:rPr>
                <w:sz w:val="20"/>
                <w:szCs w:val="20"/>
                <w:color w:val="auto"/>
              </w:rPr>
            </w:pPr>
            <w:r>
              <w:rPr>
                <w:rFonts w:ascii="Times New Roman" w:cs="Times New Roman" w:eastAsia="Times New Roman" w:hAnsi="Times New Roman"/>
                <w:sz w:val="18"/>
                <w:szCs w:val="18"/>
                <w:color w:val="auto"/>
                <w:w w:val="99"/>
              </w:rPr>
              <w:t>Financial Statements and Supplemental Schedule</w:t>
            </w:r>
          </w:p>
        </w:tc>
        <w:tc>
          <w:tcPr>
            <w:tcW w:w="2220" w:type="dxa"/>
            <w:vAlign w:val="bottom"/>
          </w:tcPr>
          <w:p>
            <w:pPr>
              <w:spacing w:after="0"/>
              <w:rPr>
                <w:sz w:val="24"/>
                <w:szCs w:val="24"/>
                <w:color w:val="auto"/>
              </w:rPr>
            </w:pPr>
          </w:p>
        </w:tc>
      </w:tr>
      <w:tr>
        <w:trPr>
          <w:trHeight w:val="324"/>
        </w:trPr>
        <w:tc>
          <w:tcPr>
            <w:tcW w:w="66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6000" w:type="dxa"/>
            <w:vAlign w:val="bottom"/>
            <w:gridSpan w:val="6"/>
          </w:tcPr>
          <w:p>
            <w:pPr>
              <w:jc w:val="center"/>
              <w:ind w:right="600"/>
              <w:spacing w:after="0"/>
              <w:rPr>
                <w:sz w:val="20"/>
                <w:szCs w:val="20"/>
                <w:color w:val="auto"/>
              </w:rPr>
            </w:pPr>
            <w:r>
              <w:rPr>
                <w:rFonts w:ascii="Times New Roman" w:cs="Times New Roman" w:eastAsia="Times New Roman" w:hAnsi="Times New Roman"/>
                <w:sz w:val="18"/>
                <w:szCs w:val="18"/>
                <w:color w:val="auto"/>
              </w:rPr>
              <w:t>December 31, 2025 and 2024, and Year Ended December 31, 2025</w:t>
            </w:r>
          </w:p>
        </w:tc>
        <w:tc>
          <w:tcPr>
            <w:tcW w:w="2220" w:type="dxa"/>
            <w:vAlign w:val="bottom"/>
          </w:tcPr>
          <w:p>
            <w:pPr>
              <w:spacing w:after="0"/>
              <w:rPr>
                <w:sz w:val="24"/>
                <w:szCs w:val="24"/>
                <w:color w:val="auto"/>
              </w:rPr>
            </w:pPr>
          </w:p>
        </w:tc>
      </w:tr>
      <w:tr>
        <w:trPr>
          <w:trHeight w:val="405"/>
        </w:trPr>
        <w:tc>
          <w:tcPr>
            <w:tcW w:w="66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920" w:type="dxa"/>
            <w:vAlign w:val="bottom"/>
            <w:gridSpan w:val="2"/>
          </w:tcPr>
          <w:p>
            <w:pPr>
              <w:jc w:val="center"/>
              <w:ind w:right="2680"/>
              <w:spacing w:after="0"/>
              <w:rPr>
                <w:sz w:val="20"/>
                <w:szCs w:val="20"/>
                <w:color w:val="auto"/>
              </w:rPr>
            </w:pPr>
            <w:r>
              <w:rPr>
                <w:rFonts w:ascii="Times New Roman" w:cs="Times New Roman" w:eastAsia="Times New Roman" w:hAnsi="Times New Roman"/>
                <w:sz w:val="18"/>
                <w:szCs w:val="18"/>
                <w:b w:val="1"/>
                <w:bCs w:val="1"/>
                <w:color w:val="auto"/>
                <w:w w:val="98"/>
              </w:rPr>
              <w:t>Contents</w:t>
            </w:r>
          </w:p>
        </w:tc>
        <w:tc>
          <w:tcPr>
            <w:tcW w:w="2220" w:type="dxa"/>
            <w:vAlign w:val="bottom"/>
          </w:tcPr>
          <w:p>
            <w:pPr>
              <w:spacing w:after="0"/>
              <w:rPr>
                <w:sz w:val="24"/>
                <w:szCs w:val="24"/>
                <w:color w:val="auto"/>
              </w:rPr>
            </w:pPr>
          </w:p>
        </w:tc>
      </w:tr>
      <w:tr>
        <w:trPr>
          <w:trHeight w:val="270"/>
        </w:trPr>
        <w:tc>
          <w:tcPr>
            <w:tcW w:w="660" w:type="dxa"/>
            <w:vAlign w:val="bottom"/>
          </w:tcPr>
          <w:p>
            <w:pPr>
              <w:spacing w:after="0"/>
              <w:rPr>
                <w:sz w:val="23"/>
                <w:szCs w:val="23"/>
                <w:color w:val="auto"/>
              </w:rPr>
            </w:pPr>
          </w:p>
        </w:tc>
        <w:tc>
          <w:tcPr>
            <w:tcW w:w="816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Report of Independent Registered Public Accounting Firm</w:t>
            </w:r>
          </w:p>
        </w:tc>
        <w:tc>
          <w:tcPr>
            <w:tcW w:w="222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1</w:t>
            </w:r>
          </w:p>
        </w:tc>
      </w:tr>
      <w:tr>
        <w:trPr>
          <w:trHeight w:val="318"/>
        </w:trPr>
        <w:tc>
          <w:tcPr>
            <w:tcW w:w="660" w:type="dxa"/>
            <w:vAlign w:val="bottom"/>
          </w:tcPr>
          <w:p>
            <w:pPr>
              <w:spacing w:after="0"/>
              <w:rPr>
                <w:sz w:val="24"/>
                <w:szCs w:val="24"/>
                <w:color w:val="auto"/>
              </w:rPr>
            </w:pPr>
          </w:p>
        </w:tc>
        <w:tc>
          <w:tcPr>
            <w:tcW w:w="422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auto"/>
              </w:rPr>
              <w:t>Financial Statements</w:t>
            </w:r>
          </w:p>
        </w:tc>
        <w:tc>
          <w:tcPr>
            <w:tcW w:w="3940" w:type="dxa"/>
            <w:vAlign w:val="bottom"/>
            <w:gridSpan w:val="3"/>
          </w:tcPr>
          <w:p>
            <w:pPr>
              <w:spacing w:after="0"/>
              <w:rPr>
                <w:sz w:val="24"/>
                <w:szCs w:val="24"/>
                <w:color w:val="auto"/>
              </w:rPr>
            </w:pPr>
          </w:p>
        </w:tc>
        <w:tc>
          <w:tcPr>
            <w:tcW w:w="2220" w:type="dxa"/>
            <w:vAlign w:val="bottom"/>
          </w:tcPr>
          <w:p>
            <w:pPr>
              <w:spacing w:after="0"/>
              <w:rPr>
                <w:sz w:val="24"/>
                <w:szCs w:val="24"/>
                <w:color w:val="auto"/>
              </w:rPr>
            </w:pPr>
          </w:p>
        </w:tc>
      </w:tr>
      <w:tr>
        <w:trPr>
          <w:trHeight w:val="256"/>
        </w:trPr>
        <w:tc>
          <w:tcPr>
            <w:tcW w:w="660" w:type="dxa"/>
            <w:vAlign w:val="bottom"/>
          </w:tcPr>
          <w:p>
            <w:pPr>
              <w:spacing w:after="0"/>
              <w:rPr>
                <w:sz w:val="22"/>
                <w:szCs w:val="22"/>
                <w:color w:val="auto"/>
              </w:rPr>
            </w:pPr>
          </w:p>
        </w:tc>
        <w:tc>
          <w:tcPr>
            <w:tcW w:w="34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Statements of Net Assets Available for Benefits</w:t>
            </w:r>
          </w:p>
        </w:tc>
        <w:tc>
          <w:tcPr>
            <w:tcW w:w="20" w:type="dxa"/>
            <w:vAlign w:val="bottom"/>
            <w:tcBorders>
              <w:bottom w:val="single" w:sz="8" w:color="0000EE"/>
            </w:tcBorders>
          </w:tcPr>
          <w:p>
            <w:pPr>
              <w:spacing w:after="0"/>
              <w:rPr>
                <w:sz w:val="22"/>
                <w:szCs w:val="22"/>
                <w:color w:val="auto"/>
              </w:rPr>
            </w:pPr>
          </w:p>
        </w:tc>
        <w:tc>
          <w:tcPr>
            <w:tcW w:w="4680" w:type="dxa"/>
            <w:vAlign w:val="bottom"/>
            <w:gridSpan w:val="4"/>
          </w:tcPr>
          <w:p>
            <w:pPr>
              <w:spacing w:after="0"/>
              <w:rPr>
                <w:sz w:val="22"/>
                <w:szCs w:val="22"/>
                <w:color w:val="auto"/>
              </w:rPr>
            </w:pPr>
          </w:p>
        </w:tc>
        <w:tc>
          <w:tcPr>
            <w:tcW w:w="222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2</w:t>
            </w:r>
          </w:p>
        </w:tc>
      </w:tr>
      <w:tr>
        <w:trPr>
          <w:trHeight w:val="169"/>
        </w:trPr>
        <w:tc>
          <w:tcPr>
            <w:tcW w:w="660" w:type="dxa"/>
            <w:vAlign w:val="bottom"/>
          </w:tcPr>
          <w:p>
            <w:pPr>
              <w:spacing w:after="0"/>
              <w:rPr>
                <w:sz w:val="14"/>
                <w:szCs w:val="14"/>
                <w:color w:val="auto"/>
              </w:rPr>
            </w:pPr>
          </w:p>
        </w:tc>
        <w:tc>
          <w:tcPr>
            <w:tcW w:w="8160" w:type="dxa"/>
            <w:vAlign w:val="bottom"/>
            <w:gridSpan w:val="7"/>
          </w:tcPr>
          <w:p>
            <w:pPr>
              <w:spacing w:after="0" w:line="169" w:lineRule="exact"/>
              <w:rPr>
                <w:sz w:val="20"/>
                <w:szCs w:val="20"/>
                <w:color w:val="auto"/>
              </w:rPr>
            </w:pPr>
            <w:r>
              <w:rPr>
                <w:rFonts w:ascii="Times New Roman" w:cs="Times New Roman" w:eastAsia="Times New Roman" w:hAnsi="Times New Roman"/>
                <w:sz w:val="18"/>
                <w:szCs w:val="18"/>
                <w:color w:val="0000FF"/>
              </w:rPr>
              <w:t>Statement of Changes in Net Assets Available for Benefits</w:t>
            </w:r>
          </w:p>
        </w:tc>
        <w:tc>
          <w:tcPr>
            <w:tcW w:w="2220" w:type="dxa"/>
            <w:vAlign w:val="bottom"/>
          </w:tcPr>
          <w:p>
            <w:pPr>
              <w:ind w:left="880"/>
              <w:spacing w:after="0" w:line="169" w:lineRule="exact"/>
              <w:rPr>
                <w:sz w:val="20"/>
                <w:szCs w:val="20"/>
                <w:color w:val="auto"/>
              </w:rPr>
            </w:pPr>
            <w:r>
              <w:rPr>
                <w:rFonts w:ascii="Times New Roman" w:cs="Times New Roman" w:eastAsia="Times New Roman" w:hAnsi="Times New Roman"/>
                <w:sz w:val="18"/>
                <w:szCs w:val="18"/>
                <w:color w:val="auto"/>
              </w:rPr>
              <w:t>3</w:t>
            </w:r>
          </w:p>
        </w:tc>
      </w:tr>
      <w:tr>
        <w:trPr>
          <w:trHeight w:val="169"/>
        </w:trPr>
        <w:tc>
          <w:tcPr>
            <w:tcW w:w="660" w:type="dxa"/>
            <w:vAlign w:val="bottom"/>
          </w:tcPr>
          <w:p>
            <w:pPr>
              <w:spacing w:after="0"/>
              <w:rPr>
                <w:sz w:val="14"/>
                <w:szCs w:val="14"/>
                <w:color w:val="auto"/>
              </w:rPr>
            </w:pPr>
          </w:p>
        </w:tc>
        <w:tc>
          <w:tcPr>
            <w:tcW w:w="2160" w:type="dxa"/>
            <w:vAlign w:val="bottom"/>
            <w:tcBorders>
              <w:top w:val="single" w:sz="8" w:color="0000FF"/>
              <w:bottom w:val="single" w:sz="8" w:color="0000FF"/>
            </w:tcBorders>
          </w:tcPr>
          <w:p>
            <w:pPr>
              <w:spacing w:after="0" w:line="169" w:lineRule="exact"/>
              <w:rPr>
                <w:sz w:val="20"/>
                <w:szCs w:val="20"/>
                <w:color w:val="auto"/>
              </w:rPr>
            </w:pPr>
            <w:r>
              <w:rPr>
                <w:rFonts w:ascii="Times New Roman" w:cs="Times New Roman" w:eastAsia="Times New Roman" w:hAnsi="Times New Roman"/>
                <w:sz w:val="18"/>
                <w:szCs w:val="18"/>
                <w:color w:val="0000FF"/>
                <w:w w:val="99"/>
              </w:rPr>
              <w:t>Notes to Financial Statements</w:t>
            </w:r>
          </w:p>
        </w:tc>
        <w:tc>
          <w:tcPr>
            <w:tcW w:w="2080" w:type="dxa"/>
            <w:vAlign w:val="bottom"/>
            <w:tcBorders>
              <w:top w:val="single" w:sz="8" w:color="0000FF"/>
            </w:tcBorders>
            <w:gridSpan w:val="4"/>
          </w:tcPr>
          <w:p>
            <w:pPr>
              <w:spacing w:after="0"/>
              <w:rPr>
                <w:sz w:val="14"/>
                <w:szCs w:val="14"/>
                <w:color w:val="auto"/>
              </w:rPr>
            </w:pPr>
          </w:p>
        </w:tc>
        <w:tc>
          <w:tcPr>
            <w:tcW w:w="54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2220" w:type="dxa"/>
            <w:vAlign w:val="bottom"/>
          </w:tcPr>
          <w:p>
            <w:pPr>
              <w:ind w:left="880"/>
              <w:spacing w:after="0" w:line="169" w:lineRule="exact"/>
              <w:rPr>
                <w:sz w:val="20"/>
                <w:szCs w:val="20"/>
                <w:color w:val="auto"/>
              </w:rPr>
            </w:pPr>
            <w:r>
              <w:rPr>
                <w:rFonts w:ascii="Times New Roman" w:cs="Times New Roman" w:eastAsia="Times New Roman" w:hAnsi="Times New Roman"/>
                <w:sz w:val="18"/>
                <w:szCs w:val="18"/>
                <w:color w:val="auto"/>
              </w:rPr>
              <w:t>4</w:t>
            </w:r>
          </w:p>
        </w:tc>
      </w:tr>
      <w:tr>
        <w:trPr>
          <w:trHeight w:val="318"/>
        </w:trPr>
        <w:tc>
          <w:tcPr>
            <w:tcW w:w="660" w:type="dxa"/>
            <w:vAlign w:val="bottom"/>
          </w:tcPr>
          <w:p>
            <w:pPr>
              <w:spacing w:after="0"/>
              <w:rPr>
                <w:sz w:val="24"/>
                <w:szCs w:val="24"/>
                <w:color w:val="auto"/>
              </w:rPr>
            </w:pPr>
          </w:p>
        </w:tc>
        <w:tc>
          <w:tcPr>
            <w:tcW w:w="81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Supplemental Schedule</w:t>
            </w:r>
          </w:p>
        </w:tc>
        <w:tc>
          <w:tcPr>
            <w:tcW w:w="2220" w:type="dxa"/>
            <w:vAlign w:val="bottom"/>
          </w:tcPr>
          <w:p>
            <w:pPr>
              <w:spacing w:after="0"/>
              <w:rPr>
                <w:sz w:val="24"/>
                <w:szCs w:val="24"/>
                <w:color w:val="auto"/>
              </w:rPr>
            </w:pPr>
          </w:p>
        </w:tc>
      </w:tr>
      <w:tr>
        <w:trPr>
          <w:trHeight w:val="256"/>
        </w:trPr>
        <w:tc>
          <w:tcPr>
            <w:tcW w:w="660" w:type="dxa"/>
            <w:vAlign w:val="bottom"/>
          </w:tcPr>
          <w:p>
            <w:pPr>
              <w:spacing w:after="0"/>
              <w:rPr>
                <w:sz w:val="22"/>
                <w:szCs w:val="22"/>
                <w:color w:val="auto"/>
              </w:rPr>
            </w:pPr>
          </w:p>
        </w:tc>
        <w:tc>
          <w:tcPr>
            <w:tcW w:w="816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Schedule H, Line 4(i) – Schedule of Assets (Held At End of Year)</w:t>
            </w:r>
          </w:p>
        </w:tc>
        <w:tc>
          <w:tcPr>
            <w:tcW w:w="222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10</w:t>
            </w:r>
          </w:p>
        </w:tc>
      </w:tr>
      <w:tr>
        <w:trPr>
          <w:trHeight w:val="1175"/>
        </w:trPr>
        <w:tc>
          <w:tcPr>
            <w:tcW w:w="660" w:type="dxa"/>
            <w:vAlign w:val="bottom"/>
            <w:tcBorders>
              <w:bottom w:val="single" w:sz="8" w:color="9A9A9A"/>
            </w:tcBorders>
          </w:tcPr>
          <w:p>
            <w:pPr>
              <w:spacing w:after="0"/>
              <w:rPr>
                <w:sz w:val="24"/>
                <w:szCs w:val="24"/>
                <w:color w:val="auto"/>
              </w:rPr>
            </w:pPr>
          </w:p>
        </w:tc>
        <w:tc>
          <w:tcPr>
            <w:tcW w:w="2160" w:type="dxa"/>
            <w:vAlign w:val="bottom"/>
            <w:tcBorders>
              <w:top w:val="single" w:sz="8" w:color="0000FF"/>
              <w:bottom w:val="single" w:sz="8" w:color="9A9A9A"/>
            </w:tcBorders>
          </w:tcPr>
          <w:p>
            <w:pPr>
              <w:spacing w:after="0"/>
              <w:rPr>
                <w:sz w:val="24"/>
                <w:szCs w:val="24"/>
                <w:color w:val="auto"/>
              </w:rPr>
            </w:pPr>
          </w:p>
        </w:tc>
        <w:tc>
          <w:tcPr>
            <w:tcW w:w="130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74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540" w:type="dxa"/>
            <w:vAlign w:val="bottom"/>
            <w:tcBorders>
              <w:top w:val="single" w:sz="8" w:color="0000FF"/>
              <w:bottom w:val="single" w:sz="8" w:color="9A9A9A"/>
            </w:tcBorders>
          </w:tcPr>
          <w:p>
            <w:pPr>
              <w:spacing w:after="0"/>
              <w:rPr>
                <w:sz w:val="24"/>
                <w:szCs w:val="24"/>
                <w:color w:val="auto"/>
              </w:rPr>
            </w:pPr>
          </w:p>
        </w:tc>
        <w:tc>
          <w:tcPr>
            <w:tcW w:w="3380" w:type="dxa"/>
            <w:vAlign w:val="bottom"/>
            <w:tcBorders>
              <w:bottom w:val="single" w:sz="8" w:color="9A9A9A"/>
            </w:tcBorders>
          </w:tcPr>
          <w:p>
            <w:pPr>
              <w:spacing w:after="0"/>
              <w:rPr>
                <w:sz w:val="24"/>
                <w:szCs w:val="24"/>
                <w:color w:val="auto"/>
              </w:rPr>
            </w:pPr>
          </w:p>
        </w:tc>
        <w:tc>
          <w:tcPr>
            <w:tcW w:w="2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769" w:right="439" w:bottom="1440" w:gutter="0" w:footer="0" w:header="0"/>
        </w:sectPr>
      </w:pPr>
    </w:p>
    <w:bookmarkStart w:id="4" w:name="page5"/>
    <w:bookmarkEnd w:id="4"/>
    <w:p>
      <w:pPr>
        <w:ind w:left="262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16" w:lineRule="exact"/>
        <w:rPr>
          <w:sz w:val="20"/>
          <w:szCs w:val="20"/>
          <w:color w:val="auto"/>
        </w:rPr>
      </w:pPr>
    </w:p>
    <w:p>
      <w:pPr>
        <w:ind w:right="4700"/>
        <w:spacing w:after="0" w:line="266" w:lineRule="auto"/>
        <w:rPr>
          <w:sz w:val="20"/>
          <w:szCs w:val="20"/>
          <w:color w:val="auto"/>
        </w:rPr>
      </w:pPr>
      <w:r>
        <w:rPr>
          <w:rFonts w:ascii="Times New Roman" w:cs="Times New Roman" w:eastAsia="Times New Roman" w:hAnsi="Times New Roman"/>
          <w:sz w:val="18"/>
          <w:szCs w:val="18"/>
          <w:color w:val="auto"/>
        </w:rPr>
        <w:t>To the Benefits Plan Administrative Committee and Plan Participants NOV Inc. 401(k) Plan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Opinion on the Financial Statements</w:t>
      </w:r>
    </w:p>
    <w:p>
      <w:pPr>
        <w:spacing w:after="0" w:line="108"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We have audited the accompanying statements of net assets available for benefits of the NOV Inc. 401(k) Plan (the Plan) as of December 31, 2025 and 2024, and the related statement of changes in net assets available for benefits for the year ended December 31, 2025, and the related notes and schedules (collectively referred to as the financial statements). In our opinion, the financial statements present fairly, in all material respects, the net assets available for benefits of the Plan as of December 31, 2025 and 2024, and the changes in net assets available for benefits for the year ended December 31, 2025, in conformity with accounting principles generally accepted in the United States of America.</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w:t>
      </w:r>
    </w:p>
    <w:p>
      <w:pPr>
        <w:spacing w:after="0" w:line="12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These financial statements are the responsibility of Plan management. Our responsibility is to express an opinion on these financial statements based on our audits. We are a public accounting firm registered with the Public Company Accounting Oversight Board (United States) (PCAOB) and are required to be independent with respect to the Plan in accordance with the U.S. federal securities laws and the applicable rules and regulations of the Securities Exchange Commission and the PCAOB.</w:t>
      </w:r>
    </w:p>
    <w:p>
      <w:pPr>
        <w:spacing w:after="0" w:line="16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w:t>
      </w:r>
    </w:p>
    <w:p>
      <w:pPr>
        <w:spacing w:after="0" w:line="16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Supplemental Information</w:t>
      </w:r>
    </w:p>
    <w:p>
      <w:pPr>
        <w:spacing w:after="0" w:line="10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The supplemental information in the accompanying schedule of assets (held at end of year) as of December 31, 2025 has been subjected to audit procedures performed in conjunction with the audit of the Plan's financial statements. The supplemental information is the responsibility of Plan management. Our audit procedures included determining whether the supplemental information reconciles to the financial statements or the underlying accounting and other records, as applicable and performing procedures to test the completeness and accuracy of the information presented in the supplemental information. In forming our opinion on the supplemental information in the accompanying schedules, we evaluated whether the supplemental information, including its form and content, is presented in conformity with the Department of Labor's Rules and Regulations for Reporting and Disclosure under the Employee Retirement Income Security Act of 1974. In our opinion, the supplemental information is fairly stated, in all material respects, in relation to the financial statements as a whole.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Weaver and Tidwell, L.L.P.</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WEAVER AND TIDWELL, L.L.P.</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Plan’s auditor since 2021.</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Houston, Texas</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22, 2026</w:t>
      </w: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471805</wp:posOffset>
            </wp:positionV>
            <wp:extent cx="703770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008" w:right="109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color w:val="auto"/>
        </w:rPr>
        <w:t>NOV Inc. 401(k) Plan</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Statements of Net Assets Available for Benefits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of December 31, 2025 and 2024</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66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45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3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183"/>
        </w:trPr>
        <w:tc>
          <w:tcPr>
            <w:tcW w:w="6620" w:type="dxa"/>
            <w:vAlign w:val="bottom"/>
            <w:shd w:val="clear" w:color="auto" w:fill="CFF0FC"/>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89"/>
        </w:trPr>
        <w:tc>
          <w:tcPr>
            <w:tcW w:w="66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Receivables:</w:t>
            </w: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6620" w:type="dxa"/>
            <w:vAlign w:val="bottom"/>
            <w:shd w:val="clear" w:color="auto" w:fill="CFF0FC"/>
          </w:tcPr>
          <w:p>
            <w:pPr>
              <w:ind w:left="180"/>
              <w:spacing w:after="0" w:line="189" w:lineRule="exact"/>
              <w:rPr>
                <w:sz w:val="20"/>
                <w:szCs w:val="20"/>
                <w:color w:val="auto"/>
              </w:rPr>
            </w:pPr>
            <w:r>
              <w:rPr>
                <w:rFonts w:ascii="Times New Roman" w:cs="Times New Roman" w:eastAsia="Times New Roman" w:hAnsi="Times New Roman"/>
                <w:sz w:val="18"/>
                <w:szCs w:val="18"/>
                <w:color w:val="auto"/>
              </w:rPr>
              <w:t>Notes receivable from participants</w:t>
            </w:r>
          </w:p>
        </w:tc>
        <w:tc>
          <w:tcPr>
            <w:tcW w:w="220" w:type="dxa"/>
            <w:vAlign w:val="bottom"/>
            <w:shd w:val="clear" w:color="auto" w:fill="CFF0FC"/>
          </w:tcPr>
          <w:p>
            <w:pPr>
              <w:jc w:val="right"/>
              <w:ind w:right="56"/>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34,688,598</w:t>
            </w:r>
          </w:p>
        </w:tc>
        <w:tc>
          <w:tcPr>
            <w:tcW w:w="560" w:type="dxa"/>
            <w:vAlign w:val="bottom"/>
            <w:gridSpan w:val="2"/>
            <w:shd w:val="clear" w:color="auto" w:fill="CFF0FC"/>
          </w:tcPr>
          <w:p>
            <w:pPr>
              <w:jc w:val="right"/>
              <w:ind w:right="18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32,310,246</w:t>
            </w:r>
          </w:p>
        </w:tc>
        <w:tc>
          <w:tcPr>
            <w:tcW w:w="100" w:type="dxa"/>
            <w:vAlign w:val="bottom"/>
            <w:shd w:val="clear" w:color="auto" w:fill="CFF0FC"/>
          </w:tcPr>
          <w:p>
            <w:pPr>
              <w:spacing w:after="0"/>
              <w:rPr>
                <w:sz w:val="16"/>
                <w:szCs w:val="16"/>
                <w:color w:val="auto"/>
              </w:rPr>
            </w:pPr>
          </w:p>
        </w:tc>
      </w:tr>
      <w:tr>
        <w:trPr>
          <w:trHeight w:val="183"/>
        </w:trPr>
        <w:tc>
          <w:tcPr>
            <w:tcW w:w="6620" w:type="dxa"/>
            <w:vAlign w:val="bottom"/>
            <w:tcBorders>
              <w:top w:val="single" w:sz="8" w:color="CFF0FC"/>
            </w:tcBorders>
          </w:tcPr>
          <w:p>
            <w:pPr>
              <w:spacing w:after="0" w:line="182" w:lineRule="exact"/>
              <w:rPr>
                <w:sz w:val="20"/>
                <w:szCs w:val="20"/>
                <w:color w:val="auto"/>
              </w:rPr>
            </w:pPr>
            <w:r>
              <w:rPr>
                <w:rFonts w:ascii="Times New Roman" w:cs="Times New Roman" w:eastAsia="Times New Roman" w:hAnsi="Times New Roman"/>
                <w:sz w:val="18"/>
                <w:szCs w:val="18"/>
                <w:color w:val="auto"/>
              </w:rPr>
              <w:t>Total receivables</w:t>
            </w:r>
          </w:p>
        </w:tc>
        <w:tc>
          <w:tcPr>
            <w:tcW w:w="22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34,688,598</w:t>
            </w:r>
          </w:p>
        </w:tc>
        <w:tc>
          <w:tcPr>
            <w:tcW w:w="300" w:type="dxa"/>
            <w:vAlign w:val="bottom"/>
            <w:tcBorders>
              <w:top w:val="single" w:sz="8" w:color="CFF0FC"/>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32,310,246</w:t>
            </w:r>
          </w:p>
        </w:tc>
        <w:tc>
          <w:tcPr>
            <w:tcW w:w="100" w:type="dxa"/>
            <w:vAlign w:val="bottom"/>
            <w:tcBorders>
              <w:top w:val="single" w:sz="8" w:color="CFF0FC"/>
            </w:tcBorders>
          </w:tcPr>
          <w:p>
            <w:pPr>
              <w:spacing w:after="0"/>
              <w:rPr>
                <w:sz w:val="15"/>
                <w:szCs w:val="15"/>
                <w:color w:val="auto"/>
              </w:rPr>
            </w:pPr>
          </w:p>
        </w:tc>
      </w:tr>
      <w:tr>
        <w:trPr>
          <w:trHeight w:val="189"/>
        </w:trPr>
        <w:tc>
          <w:tcPr>
            <w:tcW w:w="662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Investments, at fair value</w:t>
            </w:r>
          </w:p>
        </w:tc>
        <w:tc>
          <w:tcPr>
            <w:tcW w:w="220" w:type="dxa"/>
            <w:vAlign w:val="bottom"/>
            <w:shd w:val="clear" w:color="auto" w:fill="CFF0FC"/>
          </w:tcPr>
          <w:p>
            <w:pPr>
              <w:spacing w:after="0"/>
              <w:rPr>
                <w:sz w:val="16"/>
                <w:szCs w:val="16"/>
                <w:color w:val="auto"/>
              </w:rPr>
            </w:pPr>
          </w:p>
        </w:tc>
        <w:tc>
          <w:tcPr>
            <w:tcW w:w="116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1,659,339,769</w:t>
            </w:r>
          </w:p>
        </w:tc>
        <w:tc>
          <w:tcPr>
            <w:tcW w:w="3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6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1,448,144,381</w:t>
            </w:r>
          </w:p>
        </w:tc>
        <w:tc>
          <w:tcPr>
            <w:tcW w:w="100" w:type="dxa"/>
            <w:vAlign w:val="bottom"/>
            <w:shd w:val="clear" w:color="auto" w:fill="CFF0FC"/>
          </w:tcPr>
          <w:p>
            <w:pPr>
              <w:spacing w:after="0"/>
              <w:rPr>
                <w:sz w:val="16"/>
                <w:szCs w:val="16"/>
                <w:color w:val="auto"/>
              </w:rPr>
            </w:pPr>
          </w:p>
        </w:tc>
      </w:tr>
      <w:tr>
        <w:trPr>
          <w:trHeight w:val="189"/>
        </w:trPr>
        <w:tc>
          <w:tcPr>
            <w:tcW w:w="66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Fully benefit-responsive investment contracts at contract value</w:t>
            </w: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156,184,967</w:t>
            </w:r>
          </w:p>
        </w:tc>
        <w:tc>
          <w:tcPr>
            <w:tcW w:w="3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166,191,794</w:t>
            </w:r>
          </w:p>
        </w:tc>
        <w:tc>
          <w:tcPr>
            <w:tcW w:w="100" w:type="dxa"/>
            <w:vAlign w:val="bottom"/>
          </w:tcPr>
          <w:p>
            <w:pPr>
              <w:spacing w:after="0"/>
              <w:rPr>
                <w:sz w:val="16"/>
                <w:szCs w:val="16"/>
                <w:color w:val="auto"/>
              </w:rPr>
            </w:pPr>
          </w:p>
        </w:tc>
      </w:tr>
      <w:tr>
        <w:trPr>
          <w:trHeight w:val="183"/>
        </w:trPr>
        <w:tc>
          <w:tcPr>
            <w:tcW w:w="6620" w:type="dxa"/>
            <w:vAlign w:val="bottom"/>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shd w:val="clear" w:color="auto" w:fill="CFF0FC"/>
          </w:tcPr>
          <w:p>
            <w:pPr>
              <w:spacing w:after="0"/>
              <w:rPr>
                <w:sz w:val="15"/>
                <w:szCs w:val="15"/>
                <w:color w:val="auto"/>
              </w:rPr>
            </w:pPr>
          </w:p>
        </w:tc>
        <w:tc>
          <w:tcPr>
            <w:tcW w:w="1160" w:type="dxa"/>
            <w:vAlign w:val="bottom"/>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1,850,213,334</w:t>
            </w:r>
          </w:p>
        </w:tc>
        <w:tc>
          <w:tcPr>
            <w:tcW w:w="3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1,646,646,421</w:t>
            </w:r>
          </w:p>
        </w:tc>
        <w:tc>
          <w:tcPr>
            <w:tcW w:w="100" w:type="dxa"/>
            <w:vAlign w:val="bottom"/>
            <w:shd w:val="clear" w:color="auto" w:fill="CFF0FC"/>
          </w:tcPr>
          <w:p>
            <w:pPr>
              <w:spacing w:after="0"/>
              <w:rPr>
                <w:sz w:val="15"/>
                <w:szCs w:val="15"/>
                <w:color w:val="auto"/>
              </w:rPr>
            </w:pPr>
          </w:p>
        </w:tc>
      </w:tr>
      <w:tr>
        <w:trPr>
          <w:trHeight w:val="189"/>
        </w:trPr>
        <w:tc>
          <w:tcPr>
            <w:tcW w:w="6620" w:type="dxa"/>
            <w:vAlign w:val="bottom"/>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Liabilities</w:t>
            </w: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6620" w:type="dxa"/>
            <w:vAlign w:val="bottom"/>
            <w:tcBorders>
              <w:bottom w:val="single" w:sz="8" w:color="CFF0FC"/>
            </w:tcBorders>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auto"/>
            </w:tcBorders>
            <w:shd w:val="clear" w:color="auto" w:fill="CFF0FC"/>
          </w:tcPr>
          <w:p>
            <w:pPr>
              <w:spacing w:after="0"/>
              <w:rPr>
                <w:sz w:val="16"/>
                <w:szCs w:val="16"/>
                <w:color w:val="auto"/>
              </w:rPr>
            </w:pPr>
          </w:p>
        </w:tc>
        <w:tc>
          <w:tcPr>
            <w:tcW w:w="1160" w:type="dxa"/>
            <w:vAlign w:val="bottom"/>
            <w:tcBorders>
              <w:bottom w:val="single" w:sz="8" w:color="auto"/>
            </w:tcBorders>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135,846</w:t>
            </w:r>
          </w:p>
        </w:tc>
        <w:tc>
          <w:tcPr>
            <w:tcW w:w="300" w:type="dxa"/>
            <w:vAlign w:val="bottom"/>
            <w:tcBorders>
              <w:bottom w:val="single" w:sz="8" w:color="CFF0FC"/>
            </w:tcBorders>
            <w:shd w:val="clear" w:color="auto" w:fill="CFF0FC"/>
          </w:tcPr>
          <w:p>
            <w:pPr>
              <w:spacing w:after="0"/>
              <w:rPr>
                <w:sz w:val="16"/>
                <w:szCs w:val="16"/>
                <w:color w:val="auto"/>
              </w:rPr>
            </w:pPr>
          </w:p>
        </w:tc>
        <w:tc>
          <w:tcPr>
            <w:tcW w:w="260" w:type="dxa"/>
            <w:vAlign w:val="bottom"/>
            <w:tcBorders>
              <w:bottom w:val="single" w:sz="8" w:color="auto"/>
            </w:tcBorders>
            <w:shd w:val="clear" w:color="auto" w:fill="CFF0FC"/>
          </w:tcPr>
          <w:p>
            <w:pPr>
              <w:spacing w:after="0"/>
              <w:rPr>
                <w:sz w:val="16"/>
                <w:szCs w:val="16"/>
                <w:color w:val="auto"/>
              </w:rPr>
            </w:pPr>
          </w:p>
        </w:tc>
        <w:tc>
          <w:tcPr>
            <w:tcW w:w="1060" w:type="dxa"/>
            <w:vAlign w:val="bottom"/>
            <w:tcBorders>
              <w:bottom w:val="single" w:sz="8" w:color="auto"/>
            </w:tcBorders>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323,304</w:t>
            </w:r>
          </w:p>
        </w:tc>
        <w:tc>
          <w:tcPr>
            <w:tcW w:w="100" w:type="dxa"/>
            <w:vAlign w:val="bottom"/>
            <w:tcBorders>
              <w:bottom w:val="single" w:sz="8" w:color="CFF0FC"/>
            </w:tcBorders>
            <w:shd w:val="clear" w:color="auto" w:fill="CFF0FC"/>
          </w:tcPr>
          <w:p>
            <w:pPr>
              <w:spacing w:after="0"/>
              <w:rPr>
                <w:sz w:val="16"/>
                <w:szCs w:val="16"/>
                <w:color w:val="auto"/>
              </w:rPr>
            </w:pPr>
          </w:p>
        </w:tc>
      </w:tr>
      <w:tr>
        <w:trPr>
          <w:trHeight w:val="183"/>
        </w:trPr>
        <w:tc>
          <w:tcPr>
            <w:tcW w:w="662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135,846</w:t>
            </w:r>
          </w:p>
        </w:tc>
        <w:tc>
          <w:tcPr>
            <w:tcW w:w="3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323,304</w:t>
            </w:r>
          </w:p>
        </w:tc>
        <w:tc>
          <w:tcPr>
            <w:tcW w:w="100" w:type="dxa"/>
            <w:vAlign w:val="bottom"/>
          </w:tcPr>
          <w:p>
            <w:pPr>
              <w:spacing w:after="0"/>
              <w:rPr>
                <w:sz w:val="15"/>
                <w:szCs w:val="15"/>
                <w:color w:val="auto"/>
              </w:rPr>
            </w:pPr>
          </w:p>
        </w:tc>
      </w:tr>
      <w:tr>
        <w:trPr>
          <w:trHeight w:val="203"/>
        </w:trPr>
        <w:tc>
          <w:tcPr>
            <w:tcW w:w="6620" w:type="dxa"/>
            <w:vAlign w:val="bottom"/>
            <w:shd w:val="clear" w:color="auto" w:fill="CFF0FC"/>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Net assets available for benefits</w:t>
            </w:r>
          </w:p>
        </w:tc>
        <w:tc>
          <w:tcPr>
            <w:tcW w:w="220" w:type="dxa"/>
            <w:vAlign w:val="bottom"/>
            <w:shd w:val="clear" w:color="auto" w:fill="CFF0FC"/>
          </w:tcPr>
          <w:p>
            <w:pPr>
              <w:jc w:val="right"/>
              <w:ind w:right="5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1,850,077,488</w:t>
            </w:r>
          </w:p>
        </w:tc>
        <w:tc>
          <w:tcPr>
            <w:tcW w:w="560" w:type="dxa"/>
            <w:vAlign w:val="bottom"/>
            <w:gridSpan w:val="2"/>
            <w:shd w:val="clear" w:color="auto" w:fill="CFF0FC"/>
          </w:tcPr>
          <w:p>
            <w:pPr>
              <w:jc w:val="right"/>
              <w:ind w:right="18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1,646,323,117</w:t>
            </w:r>
          </w:p>
        </w:tc>
        <w:tc>
          <w:tcPr>
            <w:tcW w:w="100" w:type="dxa"/>
            <w:vAlign w:val="bottom"/>
            <w:shd w:val="clear" w:color="auto" w:fill="CFF0FC"/>
          </w:tcPr>
          <w:p>
            <w:pPr>
              <w:spacing w:after="0"/>
              <w:rPr>
                <w:sz w:val="17"/>
                <w:szCs w:val="17"/>
                <w:color w:val="auto"/>
              </w:rPr>
            </w:pPr>
          </w:p>
        </w:tc>
      </w:tr>
      <w:tr>
        <w:trPr>
          <w:trHeight w:val="20"/>
        </w:trPr>
        <w:tc>
          <w:tcPr>
            <w:tcW w:w="66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5085715</wp:posOffset>
            </wp:positionH>
            <wp:positionV relativeFrom="paragraph">
              <wp:posOffset>-1019810</wp:posOffset>
            </wp:positionV>
            <wp:extent cx="6032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6114415</wp:posOffset>
            </wp:positionH>
            <wp:positionV relativeFrom="paragraph">
              <wp:posOffset>-1019810</wp:posOffset>
            </wp:positionV>
            <wp:extent cx="6032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5085715</wp:posOffset>
            </wp:positionH>
            <wp:positionV relativeFrom="paragraph">
              <wp:posOffset>-282575</wp:posOffset>
            </wp:positionV>
            <wp:extent cx="6032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6114415</wp:posOffset>
            </wp:positionH>
            <wp:positionV relativeFrom="paragraph">
              <wp:posOffset>-282575</wp:posOffset>
            </wp:positionV>
            <wp:extent cx="6032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5085715</wp:posOffset>
            </wp:positionH>
            <wp:positionV relativeFrom="paragraph">
              <wp:posOffset>-25400</wp:posOffset>
            </wp:positionV>
            <wp:extent cx="6032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5085715</wp:posOffset>
            </wp:positionH>
            <wp:positionV relativeFrom="paragraph">
              <wp:posOffset>-8255</wp:posOffset>
            </wp:positionV>
            <wp:extent cx="6032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6114415</wp:posOffset>
            </wp:positionH>
            <wp:positionV relativeFrom="paragraph">
              <wp:posOffset>-25400</wp:posOffset>
            </wp:positionV>
            <wp:extent cx="6032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6114415</wp:posOffset>
            </wp:positionH>
            <wp:positionV relativeFrom="paragraph">
              <wp:posOffset>-8255</wp:posOffset>
            </wp:positionV>
            <wp:extent cx="6032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464820</wp:posOffset>
            </wp:positionV>
            <wp:extent cx="703770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972" w:right="109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4"/>
        </w:trPr>
        <w:tc>
          <w:tcPr>
            <w:tcW w:w="7280" w:type="dxa"/>
            <w:vAlign w:val="bottom"/>
          </w:tcPr>
          <w:p>
            <w:pPr>
              <w:jc w:val="center"/>
              <w:ind w:left="2350"/>
              <w:spacing w:after="0"/>
              <w:rPr>
                <w:sz w:val="20"/>
                <w:szCs w:val="20"/>
                <w:color w:val="auto"/>
              </w:rPr>
            </w:pPr>
            <w:r>
              <w:rPr>
                <w:rFonts w:ascii="Times New Roman" w:cs="Times New Roman" w:eastAsia="Times New Roman" w:hAnsi="Times New Roman"/>
                <w:sz w:val="18"/>
                <w:szCs w:val="18"/>
                <w:color w:val="auto"/>
                <w:w w:val="99"/>
              </w:rPr>
              <w:t>NOV Inc. 401(k) Plan</w:t>
            </w:r>
          </w:p>
        </w:tc>
        <w:tc>
          <w:tcPr>
            <w:tcW w:w="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24"/>
        </w:trPr>
        <w:tc>
          <w:tcPr>
            <w:tcW w:w="7280" w:type="dxa"/>
            <w:vAlign w:val="bottom"/>
          </w:tcPr>
          <w:p>
            <w:pPr>
              <w:jc w:val="center"/>
              <w:ind w:left="2370"/>
              <w:spacing w:after="0"/>
              <w:rPr>
                <w:sz w:val="20"/>
                <w:szCs w:val="20"/>
                <w:color w:val="auto"/>
              </w:rPr>
            </w:pPr>
            <w:r>
              <w:rPr>
                <w:rFonts w:ascii="Times New Roman" w:cs="Times New Roman" w:eastAsia="Times New Roman" w:hAnsi="Times New Roman"/>
                <w:sz w:val="18"/>
                <w:szCs w:val="18"/>
                <w:color w:val="auto"/>
                <w:w w:val="99"/>
              </w:rPr>
              <w:t>Statement of Changes in Net Assets Available for Benefits</w:t>
            </w: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30"/>
        </w:trPr>
        <w:tc>
          <w:tcPr>
            <w:tcW w:w="7280" w:type="dxa"/>
            <w:vAlign w:val="bottom"/>
          </w:tcPr>
          <w:p>
            <w:pPr>
              <w:jc w:val="center"/>
              <w:ind w:left="2350"/>
              <w:spacing w:after="0"/>
              <w:rPr>
                <w:sz w:val="20"/>
                <w:szCs w:val="20"/>
                <w:color w:val="auto"/>
              </w:rPr>
            </w:pPr>
            <w:r>
              <w:rPr>
                <w:rFonts w:ascii="Times New Roman" w:cs="Times New Roman" w:eastAsia="Times New Roman" w:hAnsi="Times New Roman"/>
                <w:sz w:val="18"/>
                <w:szCs w:val="18"/>
                <w:color w:val="auto"/>
              </w:rPr>
              <w:t xml:space="preserve">For the Year </w:t>
            </w:r>
            <w:r>
              <w:rPr>
                <w:rFonts w:ascii="Times New Roman" w:cs="Times New Roman" w:eastAsia="Times New Roman" w:hAnsi="Times New Roman"/>
                <w:sz w:val="19"/>
                <w:szCs w:val="19"/>
                <w:color w:val="auto"/>
              </w:rPr>
              <w:t>Ended</w:t>
            </w:r>
            <w:r>
              <w:rPr>
                <w:rFonts w:ascii="Times New Roman" w:cs="Times New Roman" w:eastAsia="Times New Roman" w:hAnsi="Times New Roman"/>
                <w:sz w:val="18"/>
                <w:szCs w:val="18"/>
                <w:color w:val="auto"/>
              </w:rPr>
              <w:t xml:space="preserve"> December 31, 2025</w:t>
            </w: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02"/>
        </w:trPr>
        <w:tc>
          <w:tcPr>
            <w:tcW w:w="7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50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189"/>
        </w:trPr>
        <w:tc>
          <w:tcPr>
            <w:tcW w:w="728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Additions:</w:t>
            </w:r>
          </w:p>
        </w:tc>
        <w:tc>
          <w:tcPr>
            <w:tcW w:w="30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15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189"/>
        </w:trPr>
        <w:tc>
          <w:tcPr>
            <w:tcW w:w="7280" w:type="dxa"/>
            <w:vAlign w:val="bottom"/>
          </w:tcPr>
          <w:p>
            <w:pPr>
              <w:ind w:left="180"/>
              <w:spacing w:after="0" w:line="189" w:lineRule="exact"/>
              <w:rPr>
                <w:sz w:val="20"/>
                <w:szCs w:val="20"/>
                <w:color w:val="auto"/>
              </w:rPr>
            </w:pPr>
            <w:r>
              <w:rPr>
                <w:rFonts w:ascii="Times New Roman" w:cs="Times New Roman" w:eastAsia="Times New Roman" w:hAnsi="Times New Roman"/>
                <w:sz w:val="18"/>
                <w:szCs w:val="18"/>
                <w:color w:val="auto"/>
              </w:rPr>
              <w:t>Employer contributions</w:t>
            </w:r>
          </w:p>
        </w:tc>
        <w:tc>
          <w:tcPr>
            <w:tcW w:w="840" w:type="dxa"/>
            <w:vAlign w:val="bottom"/>
            <w:gridSpan w:val="2"/>
          </w:tcPr>
          <w:p>
            <w:pPr>
              <w:jc w:val="right"/>
              <w:ind w:right="46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43,300,434</w:t>
            </w:r>
          </w:p>
        </w:tc>
        <w:tc>
          <w:tcPr>
            <w:tcW w:w="100" w:type="dxa"/>
            <w:vAlign w:val="bottom"/>
          </w:tcPr>
          <w:p>
            <w:pPr>
              <w:spacing w:after="0"/>
              <w:rPr>
                <w:sz w:val="16"/>
                <w:szCs w:val="16"/>
                <w:color w:val="auto"/>
              </w:rPr>
            </w:pPr>
          </w:p>
        </w:tc>
      </w:tr>
      <w:tr>
        <w:trPr>
          <w:trHeight w:val="189"/>
        </w:trPr>
        <w:tc>
          <w:tcPr>
            <w:tcW w:w="7280" w:type="dxa"/>
            <w:vAlign w:val="bottom"/>
            <w:shd w:val="clear" w:color="auto" w:fill="CFF0FC"/>
          </w:tcPr>
          <w:p>
            <w:pPr>
              <w:ind w:left="180"/>
              <w:spacing w:after="0" w:line="189" w:lineRule="exact"/>
              <w:rPr>
                <w:sz w:val="20"/>
                <w:szCs w:val="20"/>
                <w:color w:val="auto"/>
              </w:rPr>
            </w:pPr>
            <w:r>
              <w:rPr>
                <w:rFonts w:ascii="Times New Roman" w:cs="Times New Roman" w:eastAsia="Times New Roman" w:hAnsi="Times New Roman"/>
                <w:sz w:val="18"/>
                <w:szCs w:val="18"/>
                <w:color w:val="auto"/>
              </w:rPr>
              <w:t>Participant contributions</w:t>
            </w:r>
          </w:p>
        </w:tc>
        <w:tc>
          <w:tcPr>
            <w:tcW w:w="30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150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72,774,988</w:t>
            </w:r>
          </w:p>
        </w:tc>
        <w:tc>
          <w:tcPr>
            <w:tcW w:w="100" w:type="dxa"/>
            <w:vAlign w:val="bottom"/>
            <w:shd w:val="clear" w:color="auto" w:fill="CFF0FC"/>
          </w:tcPr>
          <w:p>
            <w:pPr>
              <w:spacing w:after="0"/>
              <w:rPr>
                <w:sz w:val="16"/>
                <w:szCs w:val="16"/>
                <w:color w:val="auto"/>
              </w:rPr>
            </w:pPr>
          </w:p>
        </w:tc>
      </w:tr>
      <w:tr>
        <w:trPr>
          <w:trHeight w:val="189"/>
        </w:trPr>
        <w:tc>
          <w:tcPr>
            <w:tcW w:w="7280" w:type="dxa"/>
            <w:vAlign w:val="bottom"/>
          </w:tcPr>
          <w:p>
            <w:pPr>
              <w:ind w:left="180"/>
              <w:spacing w:after="0" w:line="189" w:lineRule="exact"/>
              <w:rPr>
                <w:sz w:val="20"/>
                <w:szCs w:val="20"/>
                <w:color w:val="auto"/>
              </w:rPr>
            </w:pPr>
            <w:r>
              <w:rPr>
                <w:rFonts w:ascii="Times New Roman" w:cs="Times New Roman" w:eastAsia="Times New Roman" w:hAnsi="Times New Roman"/>
                <w:sz w:val="18"/>
                <w:szCs w:val="18"/>
                <w:color w:val="auto"/>
              </w:rPr>
              <w:t>Participant rollovers</w:t>
            </w:r>
          </w:p>
        </w:tc>
        <w:tc>
          <w:tcPr>
            <w:tcW w:w="3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5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9,338,096</w:t>
            </w:r>
          </w:p>
        </w:tc>
        <w:tc>
          <w:tcPr>
            <w:tcW w:w="100" w:type="dxa"/>
            <w:vAlign w:val="bottom"/>
          </w:tcPr>
          <w:p>
            <w:pPr>
              <w:spacing w:after="0"/>
              <w:rPr>
                <w:sz w:val="16"/>
                <w:szCs w:val="16"/>
                <w:color w:val="auto"/>
              </w:rPr>
            </w:pPr>
          </w:p>
        </w:tc>
      </w:tr>
      <w:tr>
        <w:trPr>
          <w:trHeight w:val="189"/>
        </w:trPr>
        <w:tc>
          <w:tcPr>
            <w:tcW w:w="7280" w:type="dxa"/>
            <w:vAlign w:val="bottom"/>
            <w:shd w:val="clear" w:color="auto" w:fill="CFF0FC"/>
          </w:tcPr>
          <w:p>
            <w:pPr>
              <w:ind w:left="180"/>
              <w:spacing w:after="0" w:line="189" w:lineRule="exact"/>
              <w:rPr>
                <w:sz w:val="20"/>
                <w:szCs w:val="20"/>
                <w:color w:val="auto"/>
              </w:rPr>
            </w:pPr>
            <w:r>
              <w:rPr>
                <w:rFonts w:ascii="Times New Roman" w:cs="Times New Roman" w:eastAsia="Times New Roman" w:hAnsi="Times New Roman"/>
                <w:sz w:val="18"/>
                <w:szCs w:val="18"/>
                <w:color w:val="auto"/>
              </w:rPr>
              <w:t>Investment income</w:t>
            </w:r>
          </w:p>
        </w:tc>
        <w:tc>
          <w:tcPr>
            <w:tcW w:w="30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150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20,836,078</w:t>
            </w:r>
          </w:p>
        </w:tc>
        <w:tc>
          <w:tcPr>
            <w:tcW w:w="100" w:type="dxa"/>
            <w:vAlign w:val="bottom"/>
            <w:shd w:val="clear" w:color="auto" w:fill="CFF0FC"/>
          </w:tcPr>
          <w:p>
            <w:pPr>
              <w:spacing w:after="0"/>
              <w:rPr>
                <w:sz w:val="16"/>
                <w:szCs w:val="16"/>
                <w:color w:val="auto"/>
              </w:rPr>
            </w:pPr>
          </w:p>
        </w:tc>
      </w:tr>
      <w:tr>
        <w:trPr>
          <w:trHeight w:val="189"/>
        </w:trPr>
        <w:tc>
          <w:tcPr>
            <w:tcW w:w="7280" w:type="dxa"/>
            <w:vAlign w:val="bottom"/>
          </w:tcPr>
          <w:p>
            <w:pPr>
              <w:ind w:left="180"/>
              <w:spacing w:after="0" w:line="189" w:lineRule="exact"/>
              <w:rPr>
                <w:sz w:val="20"/>
                <w:szCs w:val="20"/>
                <w:color w:val="auto"/>
              </w:rPr>
            </w:pPr>
            <w:r>
              <w:rPr>
                <w:rFonts w:ascii="Times New Roman" w:cs="Times New Roman" w:eastAsia="Times New Roman" w:hAnsi="Times New Roman"/>
                <w:sz w:val="18"/>
                <w:szCs w:val="18"/>
                <w:color w:val="auto"/>
              </w:rPr>
              <w:t>Net appreciation in fair value of investments</w:t>
            </w:r>
          </w:p>
        </w:tc>
        <w:tc>
          <w:tcPr>
            <w:tcW w:w="3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5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218,897,965</w:t>
            </w:r>
          </w:p>
        </w:tc>
        <w:tc>
          <w:tcPr>
            <w:tcW w:w="100" w:type="dxa"/>
            <w:vAlign w:val="bottom"/>
          </w:tcPr>
          <w:p>
            <w:pPr>
              <w:spacing w:after="0"/>
              <w:rPr>
                <w:sz w:val="16"/>
                <w:szCs w:val="16"/>
                <w:color w:val="auto"/>
              </w:rPr>
            </w:pPr>
          </w:p>
        </w:tc>
      </w:tr>
      <w:tr>
        <w:trPr>
          <w:trHeight w:val="189"/>
        </w:trPr>
        <w:tc>
          <w:tcPr>
            <w:tcW w:w="7280" w:type="dxa"/>
            <w:vAlign w:val="bottom"/>
            <w:tcBorders>
              <w:bottom w:val="single" w:sz="8" w:color="CFF0FC"/>
            </w:tcBorders>
            <w:shd w:val="clear" w:color="auto" w:fill="CFF0FC"/>
          </w:tcPr>
          <w:p>
            <w:pPr>
              <w:ind w:left="180"/>
              <w:spacing w:after="0" w:line="189" w:lineRule="exact"/>
              <w:rPr>
                <w:sz w:val="20"/>
                <w:szCs w:val="20"/>
                <w:color w:val="auto"/>
              </w:rPr>
            </w:pPr>
            <w:r>
              <w:rPr>
                <w:rFonts w:ascii="Times New Roman" w:cs="Times New Roman" w:eastAsia="Times New Roman" w:hAnsi="Times New Roman"/>
                <w:sz w:val="18"/>
                <w:szCs w:val="18"/>
                <w:color w:val="auto"/>
              </w:rPr>
              <w:t>Interest income on notes receivable from participants</w:t>
            </w:r>
          </w:p>
        </w:tc>
        <w:tc>
          <w:tcPr>
            <w:tcW w:w="300" w:type="dxa"/>
            <w:vAlign w:val="bottom"/>
            <w:tcBorders>
              <w:bottom w:val="single" w:sz="8" w:color="CFF0FC"/>
            </w:tcBorders>
            <w:shd w:val="clear" w:color="auto" w:fill="CFF0FC"/>
          </w:tcPr>
          <w:p>
            <w:pPr>
              <w:spacing w:after="0"/>
              <w:rPr>
                <w:sz w:val="16"/>
                <w:szCs w:val="16"/>
                <w:color w:val="auto"/>
              </w:rPr>
            </w:pPr>
          </w:p>
        </w:tc>
        <w:tc>
          <w:tcPr>
            <w:tcW w:w="540" w:type="dxa"/>
            <w:vAlign w:val="bottom"/>
            <w:tcBorders>
              <w:bottom w:val="single" w:sz="8" w:color="auto"/>
            </w:tcBorders>
            <w:shd w:val="clear" w:color="auto" w:fill="CFF0FC"/>
          </w:tcPr>
          <w:p>
            <w:pPr>
              <w:spacing w:after="0"/>
              <w:rPr>
                <w:sz w:val="16"/>
                <w:szCs w:val="16"/>
                <w:color w:val="auto"/>
              </w:rPr>
            </w:pPr>
          </w:p>
        </w:tc>
        <w:tc>
          <w:tcPr>
            <w:tcW w:w="1500" w:type="dxa"/>
            <w:vAlign w:val="bottom"/>
            <w:tcBorders>
              <w:bottom w:val="single" w:sz="8" w:color="auto"/>
            </w:tcBorders>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2,855,157</w:t>
            </w:r>
          </w:p>
        </w:tc>
        <w:tc>
          <w:tcPr>
            <w:tcW w:w="100" w:type="dxa"/>
            <w:vAlign w:val="bottom"/>
            <w:tcBorders>
              <w:bottom w:val="single" w:sz="8" w:color="CFF0FC"/>
            </w:tcBorders>
            <w:shd w:val="clear" w:color="auto" w:fill="CFF0FC"/>
          </w:tcPr>
          <w:p>
            <w:pPr>
              <w:spacing w:after="0"/>
              <w:rPr>
                <w:sz w:val="16"/>
                <w:szCs w:val="16"/>
                <w:color w:val="auto"/>
              </w:rPr>
            </w:pPr>
          </w:p>
        </w:tc>
      </w:tr>
      <w:tr>
        <w:trPr>
          <w:trHeight w:val="183"/>
        </w:trPr>
        <w:tc>
          <w:tcPr>
            <w:tcW w:w="728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Total additions</w:t>
            </w:r>
          </w:p>
        </w:tc>
        <w:tc>
          <w:tcPr>
            <w:tcW w:w="3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50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368,002,718</w:t>
            </w:r>
          </w:p>
        </w:tc>
        <w:tc>
          <w:tcPr>
            <w:tcW w:w="100" w:type="dxa"/>
            <w:vAlign w:val="bottom"/>
          </w:tcPr>
          <w:p>
            <w:pPr>
              <w:spacing w:after="0"/>
              <w:rPr>
                <w:sz w:val="15"/>
                <w:szCs w:val="15"/>
                <w:color w:val="auto"/>
              </w:rPr>
            </w:pPr>
          </w:p>
        </w:tc>
      </w:tr>
      <w:tr>
        <w:trPr>
          <w:trHeight w:val="189"/>
        </w:trPr>
        <w:tc>
          <w:tcPr>
            <w:tcW w:w="728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15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189"/>
        </w:trPr>
        <w:tc>
          <w:tcPr>
            <w:tcW w:w="7280" w:type="dxa"/>
            <w:vAlign w:val="bottom"/>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Deductions:</w:t>
            </w:r>
          </w:p>
        </w:tc>
        <w:tc>
          <w:tcPr>
            <w:tcW w:w="3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7280" w:type="dxa"/>
            <w:vAlign w:val="bottom"/>
            <w:shd w:val="clear" w:color="auto" w:fill="CFF0FC"/>
          </w:tcPr>
          <w:p>
            <w:pPr>
              <w:ind w:left="180"/>
              <w:spacing w:after="0" w:line="189" w:lineRule="exact"/>
              <w:rPr>
                <w:sz w:val="20"/>
                <w:szCs w:val="20"/>
                <w:color w:val="auto"/>
              </w:rPr>
            </w:pPr>
            <w:r>
              <w:rPr>
                <w:rFonts w:ascii="Times New Roman" w:cs="Times New Roman" w:eastAsia="Times New Roman" w:hAnsi="Times New Roman"/>
                <w:sz w:val="18"/>
                <w:szCs w:val="18"/>
                <w:color w:val="auto"/>
              </w:rPr>
              <w:t>Benefits paid to participants</w:t>
            </w:r>
          </w:p>
        </w:tc>
        <w:tc>
          <w:tcPr>
            <w:tcW w:w="30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150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172,314,248</w:t>
            </w:r>
          </w:p>
        </w:tc>
        <w:tc>
          <w:tcPr>
            <w:tcW w:w="100" w:type="dxa"/>
            <w:vAlign w:val="bottom"/>
            <w:shd w:val="clear" w:color="auto" w:fill="CFF0FC"/>
          </w:tcPr>
          <w:p>
            <w:pPr>
              <w:spacing w:after="0"/>
              <w:rPr>
                <w:sz w:val="16"/>
                <w:szCs w:val="16"/>
                <w:color w:val="auto"/>
              </w:rPr>
            </w:pPr>
          </w:p>
        </w:tc>
      </w:tr>
      <w:tr>
        <w:trPr>
          <w:trHeight w:val="189"/>
        </w:trPr>
        <w:tc>
          <w:tcPr>
            <w:tcW w:w="7280" w:type="dxa"/>
            <w:vAlign w:val="bottom"/>
          </w:tcPr>
          <w:p>
            <w:pPr>
              <w:ind w:left="180"/>
              <w:spacing w:after="0" w:line="189" w:lineRule="exact"/>
              <w:rPr>
                <w:sz w:val="20"/>
                <w:szCs w:val="20"/>
                <w:color w:val="auto"/>
              </w:rPr>
            </w:pPr>
            <w:r>
              <w:rPr>
                <w:rFonts w:ascii="Times New Roman" w:cs="Times New Roman" w:eastAsia="Times New Roman" w:hAnsi="Times New Roman"/>
                <w:sz w:val="18"/>
                <w:szCs w:val="18"/>
                <w:color w:val="auto"/>
              </w:rPr>
              <w:t>Deemed loan distributions</w:t>
            </w:r>
          </w:p>
        </w:tc>
        <w:tc>
          <w:tcPr>
            <w:tcW w:w="3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5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57,515</w:t>
            </w:r>
          </w:p>
        </w:tc>
        <w:tc>
          <w:tcPr>
            <w:tcW w:w="100" w:type="dxa"/>
            <w:vAlign w:val="bottom"/>
          </w:tcPr>
          <w:p>
            <w:pPr>
              <w:spacing w:after="0"/>
              <w:rPr>
                <w:sz w:val="16"/>
                <w:szCs w:val="16"/>
                <w:color w:val="auto"/>
              </w:rPr>
            </w:pPr>
          </w:p>
        </w:tc>
      </w:tr>
      <w:tr>
        <w:trPr>
          <w:trHeight w:val="189"/>
        </w:trPr>
        <w:tc>
          <w:tcPr>
            <w:tcW w:w="7280" w:type="dxa"/>
            <w:vAlign w:val="bottom"/>
            <w:shd w:val="clear" w:color="auto" w:fill="CFF0FC"/>
          </w:tcPr>
          <w:p>
            <w:pPr>
              <w:ind w:left="180"/>
              <w:spacing w:after="0" w:line="189" w:lineRule="exact"/>
              <w:rPr>
                <w:sz w:val="20"/>
                <w:szCs w:val="20"/>
                <w:color w:val="auto"/>
              </w:rPr>
            </w:pPr>
            <w:r>
              <w:rPr>
                <w:rFonts w:ascii="Times New Roman" w:cs="Times New Roman" w:eastAsia="Times New Roman" w:hAnsi="Times New Roman"/>
                <w:sz w:val="18"/>
                <w:szCs w:val="18"/>
                <w:color w:val="auto"/>
              </w:rPr>
              <w:t>Corrective distributions</w:t>
            </w:r>
          </w:p>
        </w:tc>
        <w:tc>
          <w:tcPr>
            <w:tcW w:w="30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150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43,881</w:t>
            </w:r>
          </w:p>
        </w:tc>
        <w:tc>
          <w:tcPr>
            <w:tcW w:w="100" w:type="dxa"/>
            <w:vAlign w:val="bottom"/>
            <w:shd w:val="clear" w:color="auto" w:fill="CFF0FC"/>
          </w:tcPr>
          <w:p>
            <w:pPr>
              <w:spacing w:after="0"/>
              <w:rPr>
                <w:sz w:val="16"/>
                <w:szCs w:val="16"/>
                <w:color w:val="auto"/>
              </w:rPr>
            </w:pPr>
          </w:p>
        </w:tc>
      </w:tr>
      <w:tr>
        <w:trPr>
          <w:trHeight w:val="189"/>
        </w:trPr>
        <w:tc>
          <w:tcPr>
            <w:tcW w:w="7280" w:type="dxa"/>
            <w:vAlign w:val="bottom"/>
          </w:tcPr>
          <w:p>
            <w:pPr>
              <w:ind w:left="180"/>
              <w:spacing w:after="0" w:line="189" w:lineRule="exact"/>
              <w:rPr>
                <w:sz w:val="20"/>
                <w:szCs w:val="20"/>
                <w:color w:val="auto"/>
              </w:rPr>
            </w:pPr>
            <w:r>
              <w:rPr>
                <w:rFonts w:ascii="Times New Roman" w:cs="Times New Roman" w:eastAsia="Times New Roman" w:hAnsi="Times New Roman"/>
                <w:sz w:val="18"/>
                <w:szCs w:val="18"/>
                <w:color w:val="auto"/>
              </w:rPr>
              <w:t>Administrative expenses</w:t>
            </w:r>
          </w:p>
        </w:tc>
        <w:tc>
          <w:tcPr>
            <w:tcW w:w="30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1,234,912</w:t>
            </w:r>
          </w:p>
        </w:tc>
        <w:tc>
          <w:tcPr>
            <w:tcW w:w="100" w:type="dxa"/>
            <w:vAlign w:val="bottom"/>
          </w:tcPr>
          <w:p>
            <w:pPr>
              <w:spacing w:after="0"/>
              <w:rPr>
                <w:sz w:val="16"/>
                <w:szCs w:val="16"/>
                <w:color w:val="auto"/>
              </w:rPr>
            </w:pPr>
          </w:p>
        </w:tc>
      </w:tr>
      <w:tr>
        <w:trPr>
          <w:trHeight w:val="183"/>
        </w:trPr>
        <w:tc>
          <w:tcPr>
            <w:tcW w:w="7280" w:type="dxa"/>
            <w:vAlign w:val="bottom"/>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Total deductions</w:t>
            </w:r>
          </w:p>
        </w:tc>
        <w:tc>
          <w:tcPr>
            <w:tcW w:w="30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1500" w:type="dxa"/>
            <w:vAlign w:val="bottom"/>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173,650,556</w:t>
            </w:r>
          </w:p>
        </w:tc>
        <w:tc>
          <w:tcPr>
            <w:tcW w:w="100" w:type="dxa"/>
            <w:vAlign w:val="bottom"/>
            <w:shd w:val="clear" w:color="auto" w:fill="CFF0FC"/>
          </w:tcPr>
          <w:p>
            <w:pPr>
              <w:spacing w:after="0"/>
              <w:rPr>
                <w:sz w:val="15"/>
                <w:szCs w:val="15"/>
                <w:color w:val="auto"/>
              </w:rPr>
            </w:pPr>
          </w:p>
        </w:tc>
      </w:tr>
      <w:tr>
        <w:trPr>
          <w:trHeight w:val="189"/>
        </w:trPr>
        <w:tc>
          <w:tcPr>
            <w:tcW w:w="7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23"/>
        </w:trPr>
        <w:tc>
          <w:tcPr>
            <w:tcW w:w="7280" w:type="dxa"/>
            <w:vAlign w:val="bottom"/>
            <w:tcBorders>
              <w:bottom w:val="single" w:sz="8" w:color="CFF0FC"/>
            </w:tcBorders>
            <w:shd w:val="clear" w:color="auto" w:fill="CFF0FC"/>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Net increase before transfers</w:t>
            </w:r>
          </w:p>
        </w:tc>
        <w:tc>
          <w:tcPr>
            <w:tcW w:w="300" w:type="dxa"/>
            <w:vAlign w:val="bottom"/>
            <w:tcBorders>
              <w:bottom w:val="single" w:sz="8" w:color="CFF0FC"/>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194,352,162</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170"/>
        </w:trPr>
        <w:tc>
          <w:tcPr>
            <w:tcW w:w="7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9"/>
        </w:trPr>
        <w:tc>
          <w:tcPr>
            <w:tcW w:w="728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Other changes in net assets:</w:t>
            </w:r>
          </w:p>
        </w:tc>
        <w:tc>
          <w:tcPr>
            <w:tcW w:w="30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15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189"/>
        </w:trPr>
        <w:tc>
          <w:tcPr>
            <w:tcW w:w="7280" w:type="dxa"/>
            <w:vAlign w:val="bottom"/>
          </w:tcPr>
          <w:p>
            <w:pPr>
              <w:ind w:left="180"/>
              <w:spacing w:after="0" w:line="189" w:lineRule="exact"/>
              <w:rPr>
                <w:sz w:val="20"/>
                <w:szCs w:val="20"/>
                <w:color w:val="auto"/>
              </w:rPr>
            </w:pPr>
            <w:r>
              <w:rPr>
                <w:rFonts w:ascii="Times New Roman" w:cs="Times New Roman" w:eastAsia="Times New Roman" w:hAnsi="Times New Roman"/>
                <w:sz w:val="18"/>
                <w:szCs w:val="18"/>
                <w:color w:val="auto"/>
              </w:rPr>
              <w:t>Transfers from qualified plans</w:t>
            </w:r>
          </w:p>
        </w:tc>
        <w:tc>
          <w:tcPr>
            <w:tcW w:w="30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9,402,209</w:t>
            </w:r>
          </w:p>
        </w:tc>
        <w:tc>
          <w:tcPr>
            <w:tcW w:w="100" w:type="dxa"/>
            <w:vAlign w:val="bottom"/>
          </w:tcPr>
          <w:p>
            <w:pPr>
              <w:spacing w:after="0"/>
              <w:rPr>
                <w:sz w:val="16"/>
                <w:szCs w:val="16"/>
                <w:color w:val="auto"/>
              </w:rPr>
            </w:pPr>
          </w:p>
        </w:tc>
      </w:tr>
      <w:tr>
        <w:trPr>
          <w:trHeight w:val="183"/>
        </w:trPr>
        <w:tc>
          <w:tcPr>
            <w:tcW w:w="7280" w:type="dxa"/>
            <w:vAlign w:val="bottom"/>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Total other changes in net assets</w:t>
            </w:r>
          </w:p>
        </w:tc>
        <w:tc>
          <w:tcPr>
            <w:tcW w:w="30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1500" w:type="dxa"/>
            <w:vAlign w:val="bottom"/>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9,402,209</w:t>
            </w:r>
          </w:p>
        </w:tc>
        <w:tc>
          <w:tcPr>
            <w:tcW w:w="100" w:type="dxa"/>
            <w:vAlign w:val="bottom"/>
            <w:shd w:val="clear" w:color="auto" w:fill="CFF0FC"/>
          </w:tcPr>
          <w:p>
            <w:pPr>
              <w:spacing w:after="0"/>
              <w:rPr>
                <w:sz w:val="15"/>
                <w:szCs w:val="15"/>
                <w:color w:val="auto"/>
              </w:rPr>
            </w:pPr>
          </w:p>
        </w:tc>
      </w:tr>
      <w:tr>
        <w:trPr>
          <w:trHeight w:val="189"/>
        </w:trPr>
        <w:tc>
          <w:tcPr>
            <w:tcW w:w="7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23"/>
        </w:trPr>
        <w:tc>
          <w:tcPr>
            <w:tcW w:w="7280" w:type="dxa"/>
            <w:vAlign w:val="bottom"/>
            <w:tcBorders>
              <w:bottom w:val="single" w:sz="8" w:color="CFF0FC"/>
            </w:tcBorders>
            <w:shd w:val="clear" w:color="auto" w:fill="CFF0FC"/>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Net increase after transfers</w:t>
            </w:r>
          </w:p>
        </w:tc>
        <w:tc>
          <w:tcPr>
            <w:tcW w:w="300" w:type="dxa"/>
            <w:vAlign w:val="bottom"/>
            <w:tcBorders>
              <w:bottom w:val="single" w:sz="8" w:color="CFF0FC"/>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203,754,371</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170"/>
        </w:trPr>
        <w:tc>
          <w:tcPr>
            <w:tcW w:w="7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9"/>
        </w:trPr>
        <w:tc>
          <w:tcPr>
            <w:tcW w:w="728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Net assets available for benefits at:</w:t>
            </w:r>
          </w:p>
        </w:tc>
        <w:tc>
          <w:tcPr>
            <w:tcW w:w="30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15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189"/>
        </w:trPr>
        <w:tc>
          <w:tcPr>
            <w:tcW w:w="7280" w:type="dxa"/>
            <w:vAlign w:val="bottom"/>
          </w:tcPr>
          <w:p>
            <w:pPr>
              <w:ind w:left="180"/>
              <w:spacing w:after="0" w:line="189" w:lineRule="exact"/>
              <w:rPr>
                <w:sz w:val="20"/>
                <w:szCs w:val="20"/>
                <w:color w:val="auto"/>
              </w:rPr>
            </w:pPr>
            <w:r>
              <w:rPr>
                <w:rFonts w:ascii="Times New Roman" w:cs="Times New Roman" w:eastAsia="Times New Roman" w:hAnsi="Times New Roman"/>
                <w:sz w:val="18"/>
                <w:szCs w:val="18"/>
                <w:color w:val="auto"/>
              </w:rPr>
              <w:t>Beginning of year</w:t>
            </w:r>
          </w:p>
        </w:tc>
        <w:tc>
          <w:tcPr>
            <w:tcW w:w="30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1,646,323,117</w:t>
            </w:r>
          </w:p>
        </w:tc>
        <w:tc>
          <w:tcPr>
            <w:tcW w:w="100" w:type="dxa"/>
            <w:vAlign w:val="bottom"/>
          </w:tcPr>
          <w:p>
            <w:pPr>
              <w:spacing w:after="0"/>
              <w:rPr>
                <w:sz w:val="16"/>
                <w:szCs w:val="16"/>
                <w:color w:val="auto"/>
              </w:rPr>
            </w:pPr>
          </w:p>
        </w:tc>
      </w:tr>
      <w:tr>
        <w:trPr>
          <w:trHeight w:val="203"/>
        </w:trPr>
        <w:tc>
          <w:tcPr>
            <w:tcW w:w="7280" w:type="dxa"/>
            <w:vAlign w:val="bottom"/>
            <w:shd w:val="clear" w:color="auto" w:fill="CFF0FC"/>
          </w:tcPr>
          <w:p>
            <w:pPr>
              <w:ind w:left="180"/>
              <w:spacing w:after="0" w:line="182" w:lineRule="exact"/>
              <w:rPr>
                <w:sz w:val="20"/>
                <w:szCs w:val="20"/>
                <w:color w:val="auto"/>
              </w:rPr>
            </w:pPr>
            <w:r>
              <w:rPr>
                <w:rFonts w:ascii="Times New Roman" w:cs="Times New Roman" w:eastAsia="Times New Roman" w:hAnsi="Times New Roman"/>
                <w:sz w:val="18"/>
                <w:szCs w:val="18"/>
                <w:color w:val="auto"/>
              </w:rPr>
              <w:t>End of year</w:t>
            </w:r>
          </w:p>
        </w:tc>
        <w:tc>
          <w:tcPr>
            <w:tcW w:w="840" w:type="dxa"/>
            <w:vAlign w:val="bottom"/>
            <w:gridSpan w:val="2"/>
            <w:shd w:val="clear" w:color="auto" w:fill="CFF0FC"/>
          </w:tcPr>
          <w:p>
            <w:pPr>
              <w:jc w:val="right"/>
              <w:ind w:right="46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1,850,077,488</w:t>
            </w:r>
          </w:p>
        </w:tc>
        <w:tc>
          <w:tcPr>
            <w:tcW w:w="100" w:type="dxa"/>
            <w:vAlign w:val="bottom"/>
            <w:shd w:val="clear" w:color="auto" w:fill="CFF0FC"/>
          </w:tcPr>
          <w:p>
            <w:pPr>
              <w:spacing w:after="0"/>
              <w:rPr>
                <w:sz w:val="17"/>
                <w:szCs w:val="17"/>
                <w:color w:val="auto"/>
              </w:rPr>
            </w:pPr>
          </w:p>
        </w:tc>
      </w:tr>
      <w:tr>
        <w:trPr>
          <w:trHeight w:val="20"/>
        </w:trPr>
        <w:tc>
          <w:tcPr>
            <w:tcW w:w="728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5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6114415</wp:posOffset>
            </wp:positionH>
            <wp:positionV relativeFrom="paragraph">
              <wp:posOffset>-2527935</wp:posOffset>
            </wp:positionV>
            <wp:extent cx="6032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6114415</wp:posOffset>
            </wp:positionH>
            <wp:positionV relativeFrom="paragraph">
              <wp:posOffset>-1302385</wp:posOffset>
            </wp:positionV>
            <wp:extent cx="6032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6114415</wp:posOffset>
            </wp:positionH>
            <wp:positionV relativeFrom="paragraph">
              <wp:posOffset>-1285240</wp:posOffset>
            </wp:positionV>
            <wp:extent cx="6032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6114415</wp:posOffset>
            </wp:positionH>
            <wp:positionV relativeFrom="paragraph">
              <wp:posOffset>-539115</wp:posOffset>
            </wp:positionV>
            <wp:extent cx="6032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6114415</wp:posOffset>
            </wp:positionH>
            <wp:positionV relativeFrom="paragraph">
              <wp:posOffset>-522605</wp:posOffset>
            </wp:positionV>
            <wp:extent cx="6032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6114415</wp:posOffset>
            </wp:positionH>
            <wp:positionV relativeFrom="paragraph">
              <wp:posOffset>-24765</wp:posOffset>
            </wp:positionV>
            <wp:extent cx="6032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6114415</wp:posOffset>
            </wp:positionH>
            <wp:positionV relativeFrom="paragraph">
              <wp:posOffset>-8255</wp:posOffset>
            </wp:positionV>
            <wp:extent cx="6032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463550</wp:posOffset>
            </wp:positionV>
            <wp:extent cx="703770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972" w:right="109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color w:val="auto"/>
        </w:rPr>
        <w:t>NOV Inc. 401(k) Plan</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Financial Statements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December 31, 2025</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Description of Plan</w:t>
      </w:r>
    </w:p>
    <w:p>
      <w:pPr>
        <w:spacing w:after="0" w:line="12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 xml:space="preserve">The following description of the NOV Inc. 401(k) Plan (the “Plan”) is provided for general information only. Participants should refer to the </w:t>
      </w:r>
      <w:r>
        <w:rPr>
          <w:rFonts w:ascii="Times New Roman" w:cs="Times New Roman" w:eastAsia="Times New Roman" w:hAnsi="Times New Roman"/>
          <w:sz w:val="18"/>
          <w:szCs w:val="18"/>
          <w:i w:val="1"/>
          <w:iCs w:val="1"/>
          <w:color w:val="auto"/>
        </w:rPr>
        <w:t>Summary Plan Description</w:t>
      </w:r>
      <w:r>
        <w:rPr>
          <w:rFonts w:ascii="Times New Roman" w:cs="Times New Roman" w:eastAsia="Times New Roman" w:hAnsi="Times New Roman"/>
          <w:sz w:val="18"/>
          <w:szCs w:val="18"/>
          <w:color w:val="auto"/>
        </w:rPr>
        <w:t xml:space="preserve"> for a more complete description of the Plan’s provisions, a copy of which is available from NOV Inc. (the “Company” or “Plan Sponsor”).</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Plan was established effective April 1, 1987, for the benefit of the Company’s employees. It is a multiple-employer defined contribution plan that covers substantially all domestic employees who have completed at least one hour of service. The Plan is subject to the provisions of the Employee Retirement Income Security Act of 1974, as amended (ERISA).</w:t>
      </w:r>
    </w:p>
    <w:p>
      <w:pPr>
        <w:spacing w:after="0" w:line="61"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Effective April 1, 2025, the Company completed the merger of the 401(k) retirement plans previously maintained by Keystone Tower Systems, Inc. and Extract Companies, LLC, both of which were acquired in 2024, into the Plan. These mergers were executed to streamline plan administration and unify retirement benefits across the organization. As of the merger dates, all participant account balances and associated plan assets were transferred into the Plan, totaling approximately $9 million, of which approximately $1 million related to Keystone and $8 million related to Extract. The merger is reflected as a transfer into the Plan in the statement of changes in net assets available for benefits for the year ended December 31, 2025.</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Contributions</w:t>
      </w:r>
    </w:p>
    <w:p>
      <w:pPr>
        <w:spacing w:after="0" w:line="121"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Participants may make both pretax and after-tax contributions to the Plan. Pretax salary deferral contributions may range from 1% to 75% (less any after-tax contributions, required withholdings, or other elected deductions) of compensation, subject to certain Internal Revenue Service (IRS) limitations. Participants may also designate their salary deferral contributions as Roth contributions. After-tax contributions may range from 1% to 18% of eligible compensation. However, the total of all pretax and after-tax contributions, required withholdings, and other elected deductions cannot exceed 100% of eligible compensation. The Plan provides for the automatic enrollment and payroll deduction of 5% of a newly eligible employee’s compensation as soon as practical following 60 days after employment for most participants, except for certain employees covered by a collective bargaining agreement who may have a different percentage based on their collective bargaining agreement. Participants age 50 and older may contribute additional pre-tax catch-up contributions, subject to IRS guidelines.</w:t>
      </w:r>
    </w:p>
    <w:p>
      <w:pPr>
        <w:spacing w:after="0" w:line="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may also make a discretionary contribution to the Plan. There were no discretionary contributions made for the year ended December 31, 2025.</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Vesting</w:t>
      </w:r>
    </w:p>
    <w:p>
      <w:pPr>
        <w:spacing w:after="0" w:line="12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Participants are immediately 100% vested in their participant and employer contributions and the related earnings that have been credited to their accounts, except for certain employees covered by a collective bargaining agreement who may have a different vesting based on their collective bargaining agreement.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Benefit Payments</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Plan pays lump-sum benefits upon retirement, disability, death, or termination of employment. In-service withdrawals, subject to certain rules and restrictions, may also be made from certain account balances.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Receivable from Participants</w:t>
      </w:r>
    </w:p>
    <w:p>
      <w:pPr>
        <w:spacing w:after="0" w:line="10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Plan includes a loan provision that permits participants to borrow a minimum of $1,000 up to the lesser of $50,000 or 50% of the total value of their Plan assets. The loans are payable in principal installments, plus interest, at prime plus one percent through payroll deductions and are due in one- to five-year terms, unless the loan is used to acquire a principal residence, in which case the loan term cannot exceed ten years. Repayments are made ratably through payroll deductions.</w:t>
      </w:r>
    </w:p>
    <w:p>
      <w:pPr>
        <w:spacing w:after="0" w:line="8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Participant loans are recorded in the financial statements as notes receivable from participants at their unpaid principal balance plus any accrued but unpaid interest. Interest income on notes receivable from participants is recorded when it is earned. Related fees are recorded as administrative expenses and are expensed when they are incurred. No allowance for credit losses was recorded as of December 31, 2025 or 2024. If a participant ceases to make loan repayments and the plan administrator deems the participant loan to be a distribution, the participant loan balance is reduced and a benefit payment is recorded.</w:t>
      </w: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476250</wp:posOffset>
            </wp:positionV>
            <wp:extent cx="703770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972" w:right="109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color w:val="auto"/>
        </w:rPr>
        <w:t>NOV Inc. 401(k) Plan</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Financial Statements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December 31, 2025</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Administrative Expenses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administrative expenses are paid from the Plan’s assets. All other Plan expenses are paid by the Company.</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Plan Termination</w:t>
      </w:r>
    </w:p>
    <w:p>
      <w:pPr>
        <w:spacing w:after="0" w:line="12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Although it has not expressed any intent to do so, the Company has the right under the Plan to discontinue its contributions at any time and to terminate the Plan subject to the provisions of ERISA. In any event, participants remain 100% vested in their accounts. Upon termination, Plan assets would be distributed to participants as prescribed by ERISA.</w:t>
      </w:r>
    </w:p>
    <w:p>
      <w:pPr>
        <w:spacing w:after="0" w:line="281" w:lineRule="exact"/>
        <w:rPr>
          <w:sz w:val="20"/>
          <w:szCs w:val="20"/>
          <w:color w:val="auto"/>
        </w:rPr>
      </w:pPr>
    </w:p>
    <w:p>
      <w:pPr>
        <w:ind w:right="7040" w:firstLine="4"/>
        <w:spacing w:after="0" w:line="362" w:lineRule="auto"/>
        <w:tabs>
          <w:tab w:leader="none" w:pos="18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Accounting Policies Basis of Accounting</w:t>
      </w:r>
    </w:p>
    <w:p>
      <w:pPr>
        <w:spacing w:after="0" w:line="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accompanying financial statements of the Plan have been prepared on the accrual basis of accounting. Benefit payments to participants are recorded upon distribution.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2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generally accepted accounting principles requires management to make estimates that affect the amounts reported in the financial statements, accompanying notes, and supplemental schedule. Actual results could differ from those estimates.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Contributions</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Contributions from Plan participants and the matching contributions from the Company are recorded in the year in which the employee contributions are withheld from compensation.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Valuation and Income Recognition</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Investments held by the Plan, except for fully benefit-responsive investment contracts, are stated at fair value. Fair value is defined as the price that would be received to sell an asset or paid to transfer a liability in an orderly transaction between market participants at the measurement date (i.e., the exit price). See Note 3 for further discussion of fair value measurements.</w:t>
      </w:r>
    </w:p>
    <w:p>
      <w:pPr>
        <w:spacing w:after="0" w:line="6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Purchases and sales of securities are recorded on a trade-date basis. Interest income is recorded as earned. Dividends are recorded on the record date. Net appreciation includes the Plan’s gains and losses on investments bought and sold as well as held during the year.</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and Uncertainties</w:t>
      </w:r>
    </w:p>
    <w:p>
      <w:pPr>
        <w:spacing w:after="0" w:line="12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The Plan provides for investments in a variety of securities that are subject to risks, including interest rate risk, credit risk, and overall market volatility. Market values of these investments may decline for several reasons, including changes in market and interest rates, increased default rates, or credit rating downgrades. Given the level of risk associated with certain investment securities, it is reasonably possible that changes in their values could occur in the near term and may materially affect the amounts reported in the statements of net assets available for benefits and participant account balances.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Plan Management’s Review of Subsequent Events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Plan has evaluated subsequent events through June 22, 2026, the date the financial statements were available to be issued.</w:t>
      </w: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484505</wp:posOffset>
            </wp:positionV>
            <wp:extent cx="703770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972" w:right="109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color w:val="auto"/>
        </w:rPr>
        <w:t>NOV Inc. 401(k) Plan</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Financial Statements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December 31, 2025</w:t>
      </w:r>
    </w:p>
    <w:p>
      <w:pPr>
        <w:spacing w:after="0" w:line="11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3. Fair Value Measurements</w:t>
      </w:r>
    </w:p>
    <w:p>
      <w:pPr>
        <w:spacing w:after="0" w:line="108" w:lineRule="exact"/>
        <w:rPr>
          <w:sz w:val="20"/>
          <w:szCs w:val="20"/>
          <w:color w:val="auto"/>
        </w:rPr>
      </w:pPr>
    </w:p>
    <w:p>
      <w:pPr>
        <w:ind w:left="660" w:right="660"/>
        <w:spacing w:after="0" w:line="253" w:lineRule="auto"/>
        <w:rPr>
          <w:sz w:val="20"/>
          <w:szCs w:val="20"/>
          <w:color w:val="auto"/>
        </w:rPr>
      </w:pPr>
      <w:r>
        <w:rPr>
          <w:rFonts w:ascii="Times New Roman" w:cs="Times New Roman" w:eastAsia="Times New Roman" w:hAnsi="Times New Roman"/>
          <w:sz w:val="18"/>
          <w:szCs w:val="18"/>
          <w:color w:val="auto"/>
        </w:rPr>
        <w:t>The fair value framework establishes a fair value hierarchy that prioritizes the inputs to valuation techniques used to measure fair value. The hierarchy gives the highest priority to unadjusted quoted prices in active markets for identical assets and liabilities (Level</w:t>
      </w:r>
    </w:p>
    <w:p>
      <w:pPr>
        <w:ind w:left="660"/>
        <w:spacing w:after="0"/>
        <w:rPr>
          <w:sz w:val="20"/>
          <w:szCs w:val="20"/>
          <w:color w:val="auto"/>
        </w:rPr>
      </w:pPr>
      <w:r>
        <w:rPr>
          <w:rFonts w:ascii="Times New Roman" w:cs="Times New Roman" w:eastAsia="Times New Roman" w:hAnsi="Times New Roman"/>
          <w:sz w:val="18"/>
          <w:szCs w:val="18"/>
          <w:color w:val="auto"/>
        </w:rPr>
        <w:t>1) and the lowest priority to unobservable inputs (Level 3). The three levels of the fair value hierarchy are described below:</w:t>
      </w:r>
    </w:p>
    <w:p>
      <w:pPr>
        <w:spacing w:after="0" w:line="85" w:lineRule="exact"/>
        <w:rPr>
          <w:sz w:val="20"/>
          <w:szCs w:val="20"/>
          <w:color w:val="auto"/>
        </w:rPr>
      </w:pPr>
    </w:p>
    <w:p>
      <w:pPr>
        <w:ind w:left="980" w:right="660"/>
        <w:spacing w:after="0" w:line="266" w:lineRule="auto"/>
        <w:rPr>
          <w:sz w:val="20"/>
          <w:szCs w:val="20"/>
          <w:color w:val="auto"/>
        </w:rPr>
      </w:pPr>
      <w:r>
        <w:rPr>
          <w:rFonts w:ascii="Times New Roman" w:cs="Times New Roman" w:eastAsia="Times New Roman" w:hAnsi="Times New Roman"/>
          <w:sz w:val="18"/>
          <w:szCs w:val="18"/>
          <w:color w:val="auto"/>
        </w:rPr>
        <w:t>Level 1 – Unadjusted quoted prices in active markets that are accessible to the reporting entity at the measurement date for identical assets and liabilities.</w:t>
      </w:r>
    </w:p>
    <w:p>
      <w:pPr>
        <w:spacing w:after="0" w:line="54" w:lineRule="exact"/>
        <w:rPr>
          <w:sz w:val="20"/>
          <w:szCs w:val="20"/>
          <w:color w:val="auto"/>
        </w:rPr>
      </w:pPr>
    </w:p>
    <w:p>
      <w:pPr>
        <w:ind w:left="980" w:right="660"/>
        <w:spacing w:after="0" w:line="282" w:lineRule="auto"/>
        <w:rPr>
          <w:sz w:val="20"/>
          <w:szCs w:val="20"/>
          <w:color w:val="auto"/>
        </w:rPr>
      </w:pPr>
      <w:r>
        <w:rPr>
          <w:rFonts w:ascii="Times New Roman" w:cs="Times New Roman" w:eastAsia="Times New Roman" w:hAnsi="Times New Roman"/>
          <w:sz w:val="18"/>
          <w:szCs w:val="18"/>
          <w:color w:val="auto"/>
        </w:rPr>
        <w:t>Level 2 – Inputs other than quoted prices in active markets for identical assets and liabilities that are observable either directly or indirectly for substantially the full term of the asset or liability. Level 2 inputs include the following:</w:t>
      </w:r>
    </w:p>
    <w:p>
      <w:pPr>
        <w:spacing w:after="0" w:line="48" w:lineRule="exact"/>
        <w:rPr>
          <w:sz w:val="20"/>
          <w:szCs w:val="20"/>
          <w:color w:val="auto"/>
        </w:rPr>
      </w:pPr>
    </w:p>
    <w:p>
      <w:pPr>
        <w:ind w:left="1640" w:hanging="328"/>
        <w:spacing w:after="0"/>
        <w:tabs>
          <w:tab w:leader="none" w:pos="164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quoted prices for similar assets and liabilities in active markets;</w:t>
      </w:r>
    </w:p>
    <w:p>
      <w:pPr>
        <w:spacing w:after="0" w:line="98" w:lineRule="exact"/>
        <w:rPr>
          <w:rFonts w:ascii="Times New Roman" w:cs="Times New Roman" w:eastAsia="Times New Roman" w:hAnsi="Times New Roman"/>
          <w:sz w:val="22"/>
          <w:szCs w:val="22"/>
          <w:color w:val="auto"/>
        </w:rPr>
      </w:pPr>
    </w:p>
    <w:p>
      <w:pPr>
        <w:ind w:left="1640" w:hanging="328"/>
        <w:spacing w:after="0"/>
        <w:tabs>
          <w:tab w:leader="none" w:pos="164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quoted prices for identical or similar assets or liabilities in markets that are not active;</w:t>
      </w:r>
    </w:p>
    <w:p>
      <w:pPr>
        <w:spacing w:after="0" w:line="130" w:lineRule="exact"/>
        <w:rPr>
          <w:rFonts w:ascii="Times New Roman" w:cs="Times New Roman" w:eastAsia="Times New Roman" w:hAnsi="Times New Roman"/>
          <w:sz w:val="22"/>
          <w:szCs w:val="22"/>
          <w:color w:val="auto"/>
        </w:rPr>
      </w:pPr>
    </w:p>
    <w:p>
      <w:pPr>
        <w:ind w:left="1640" w:right="660" w:hanging="328"/>
        <w:spacing w:after="0" w:line="227" w:lineRule="auto"/>
        <w:tabs>
          <w:tab w:leader="none" w:pos="164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observable inputs other than quoted prices that are used in the valuation of the asset or liabilities (e.g., interest rate and yield curve quotes at commonly quoted intervals); and</w:t>
      </w:r>
    </w:p>
    <w:p>
      <w:pPr>
        <w:spacing w:after="0" w:line="86" w:lineRule="exact"/>
        <w:rPr>
          <w:rFonts w:ascii="Times New Roman" w:cs="Times New Roman" w:eastAsia="Times New Roman" w:hAnsi="Times New Roman"/>
          <w:sz w:val="22"/>
          <w:szCs w:val="22"/>
          <w:color w:val="auto"/>
        </w:rPr>
      </w:pPr>
    </w:p>
    <w:p>
      <w:pPr>
        <w:ind w:left="1640" w:hanging="328"/>
        <w:spacing w:after="0"/>
        <w:tabs>
          <w:tab w:leader="none" w:pos="164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inputs that are derived principally from or corroborated by observable market data by correlation or other means.</w:t>
      </w:r>
    </w:p>
    <w:p>
      <w:pPr>
        <w:spacing w:after="0" w:line="103" w:lineRule="exact"/>
        <w:rPr>
          <w:sz w:val="20"/>
          <w:szCs w:val="20"/>
          <w:color w:val="auto"/>
        </w:rPr>
      </w:pPr>
    </w:p>
    <w:p>
      <w:pPr>
        <w:jc w:val="both"/>
        <w:ind w:left="980" w:right="660"/>
        <w:spacing w:after="0" w:line="250" w:lineRule="auto"/>
        <w:rPr>
          <w:sz w:val="20"/>
          <w:szCs w:val="20"/>
          <w:color w:val="auto"/>
        </w:rPr>
      </w:pPr>
      <w:r>
        <w:rPr>
          <w:rFonts w:ascii="Times New Roman" w:cs="Times New Roman" w:eastAsia="Times New Roman" w:hAnsi="Times New Roman"/>
          <w:sz w:val="18"/>
          <w:szCs w:val="18"/>
          <w:color w:val="auto"/>
        </w:rPr>
        <w:t>Level 3 – Unobservable inputs for the asset or liability (i.e., supported by little or no market activity). Level 3 inputs include management’s own assumption about the assumptions that market participants would use in pricing the asset or liability (including assumptions about risk).</w:t>
      </w:r>
    </w:p>
    <w:p>
      <w:pPr>
        <w:spacing w:after="0" w:line="82" w:lineRule="exact"/>
        <w:rPr>
          <w:sz w:val="20"/>
          <w:szCs w:val="20"/>
          <w:color w:val="auto"/>
        </w:rPr>
      </w:pPr>
    </w:p>
    <w:p>
      <w:pPr>
        <w:ind w:left="660" w:right="660"/>
        <w:spacing w:after="0" w:line="266" w:lineRule="auto"/>
        <w:rPr>
          <w:sz w:val="20"/>
          <w:szCs w:val="20"/>
          <w:color w:val="auto"/>
        </w:rPr>
      </w:pPr>
      <w:r>
        <w:rPr>
          <w:rFonts w:ascii="Times New Roman" w:cs="Times New Roman" w:eastAsia="Times New Roman" w:hAnsi="Times New Roman"/>
          <w:sz w:val="18"/>
          <w:szCs w:val="18"/>
          <w:color w:val="auto"/>
        </w:rPr>
        <w:t>The level in the fair value hierarchy within which the fair value measurement is classified is determined based on the lowest level input that is significant to the fair value measure in its entirety.</w:t>
      </w:r>
    </w:p>
    <w:p>
      <w:pPr>
        <w:spacing w:after="0" w:line="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Following is a description of the valuation techniques and inputs used for each general type of assets measured at fair value by the</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Plan:</w:t>
      </w:r>
    </w:p>
    <w:p>
      <w:pPr>
        <w:spacing w:after="0" w:line="83" w:lineRule="exact"/>
        <w:rPr>
          <w:sz w:val="20"/>
          <w:szCs w:val="20"/>
          <w:color w:val="auto"/>
        </w:rPr>
      </w:pPr>
    </w:p>
    <w:p>
      <w:pPr>
        <w:jc w:val="both"/>
        <w:ind w:left="980" w:right="660"/>
        <w:spacing w:after="0" w:line="268" w:lineRule="auto"/>
        <w:rPr>
          <w:sz w:val="20"/>
          <w:szCs w:val="20"/>
          <w:color w:val="auto"/>
        </w:rPr>
      </w:pPr>
      <w:r>
        <w:rPr>
          <w:rFonts w:ascii="Times New Roman" w:cs="Times New Roman" w:eastAsia="Times New Roman" w:hAnsi="Times New Roman"/>
          <w:sz w:val="18"/>
          <w:szCs w:val="18"/>
          <w:i w:val="1"/>
          <w:iCs w:val="1"/>
          <w:color w:val="auto"/>
        </w:rPr>
        <w:t xml:space="preserve">Self-directed brokerage accounts: </w:t>
      </w:r>
      <w:r>
        <w:rPr>
          <w:rFonts w:ascii="Times New Roman" w:cs="Times New Roman" w:eastAsia="Times New Roman" w:hAnsi="Times New Roman"/>
          <w:sz w:val="18"/>
          <w:szCs w:val="18"/>
          <w:color w:val="auto"/>
        </w:rPr>
        <w:t>Accounts primarily consist of cash, money market funds, mutual funds and common stocks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valued on the basis of readily determinable market prices.</w:t>
      </w:r>
    </w:p>
    <w:p>
      <w:pPr>
        <w:spacing w:after="0" w:line="6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i w:val="1"/>
          <w:iCs w:val="1"/>
          <w:color w:val="auto"/>
        </w:rPr>
        <w:t xml:space="preserve">Common stocks: </w:t>
      </w:r>
      <w:r>
        <w:rPr>
          <w:rFonts w:ascii="Times New Roman" w:cs="Times New Roman" w:eastAsia="Times New Roman" w:hAnsi="Times New Roman"/>
          <w:sz w:val="18"/>
          <w:szCs w:val="18"/>
          <w:color w:val="auto"/>
        </w:rPr>
        <w:t>Valued at the closing price reported on the active market on which the individual securities are traded.</w:t>
      </w:r>
    </w:p>
    <w:p>
      <w:pPr>
        <w:spacing w:after="0" w:line="10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i w:val="1"/>
          <w:iCs w:val="1"/>
          <w:color w:val="auto"/>
        </w:rPr>
        <w:t xml:space="preserve">Mutual funds: </w:t>
      </w:r>
      <w:r>
        <w:rPr>
          <w:rFonts w:ascii="Times New Roman" w:cs="Times New Roman" w:eastAsia="Times New Roman" w:hAnsi="Times New Roman"/>
          <w:sz w:val="18"/>
          <w:szCs w:val="18"/>
          <w:color w:val="auto"/>
        </w:rPr>
        <w:t>Valued at the net asset value (NAV) of shares held by the Plan at year-end.</w:t>
      </w:r>
    </w:p>
    <w:p>
      <w:pPr>
        <w:spacing w:after="0" w:line="104" w:lineRule="exact"/>
        <w:rPr>
          <w:sz w:val="20"/>
          <w:szCs w:val="20"/>
          <w:color w:val="auto"/>
        </w:rPr>
      </w:pPr>
    </w:p>
    <w:p>
      <w:pPr>
        <w:jc w:val="both"/>
        <w:ind w:left="980" w:right="660"/>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Common collective trust funds: </w:t>
      </w:r>
      <w:r>
        <w:rPr>
          <w:rFonts w:ascii="Times New Roman" w:cs="Times New Roman" w:eastAsia="Times New Roman" w:hAnsi="Times New Roman"/>
          <w:sz w:val="18"/>
          <w:szCs w:val="18"/>
          <w:color w:val="auto"/>
        </w:rPr>
        <w:t>Valued at the NAV of shares held by the Plan at year-end. The NAV, as provided by the trustee,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used as a practical expedient to estimate fair value. The NAV is based on the fair value of the underlying investments held by the fund.</w:t>
      </w:r>
    </w:p>
    <w:p>
      <w:pPr>
        <w:spacing w:after="0" w:line="61" w:lineRule="exact"/>
        <w:rPr>
          <w:sz w:val="20"/>
          <w:szCs w:val="20"/>
          <w:color w:val="auto"/>
        </w:rPr>
      </w:pPr>
    </w:p>
    <w:p>
      <w:pPr>
        <w:jc w:val="both"/>
        <w:ind w:left="660" w:right="660"/>
        <w:spacing w:after="0" w:line="250" w:lineRule="auto"/>
        <w:rPr>
          <w:sz w:val="20"/>
          <w:szCs w:val="20"/>
          <w:color w:val="auto"/>
        </w:rPr>
      </w:pPr>
      <w:r>
        <w:rPr>
          <w:rFonts w:ascii="Times New Roman" w:cs="Times New Roman" w:eastAsia="Times New Roman" w:hAnsi="Times New Roman"/>
          <w:sz w:val="18"/>
          <w:szCs w:val="18"/>
          <w:color w:val="auto"/>
        </w:rPr>
        <w:t>The methods described above may produce a fair value calculation that may not be indicative of net realizable value or reflective of future fair values. Furthermore, while the Plan believes its valuation methods are appropriate and consistent with other market participants, the use of different methodologies or assumptions to determine the fair value of certain financial instruments could result in a different fair value measurement at the reporting date.</w:t>
      </w:r>
    </w:p>
    <w:p>
      <w:pPr>
        <w:spacing w:after="0" w:line="6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tables set forth, by level within the fair value hierarchy, the Plan’s assets carried at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158750</wp:posOffset>
            </wp:positionV>
            <wp:extent cx="85725" cy="2139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5725" cy="21399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158750</wp:posOffset>
            </wp:positionV>
            <wp:extent cx="85725" cy="2139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5725" cy="213995"/>
                    </a:xfrm>
                    <a:prstGeom prst="rect">
                      <a:avLst/>
                    </a:prstGeom>
                    <a:noFill/>
                  </pic:spPr>
                </pic:pic>
              </a:graphicData>
            </a:graphic>
          </wp:anchor>
        </w:drawing>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19"/>
        </w:trPr>
        <w:tc>
          <w:tcPr>
            <w:tcW w:w="660" w:type="dxa"/>
            <w:vAlign w:val="bottom"/>
          </w:tcPr>
          <w:p>
            <w:pPr>
              <w:spacing w:after="0"/>
              <w:rPr>
                <w:sz w:val="10"/>
                <w:szCs w:val="10"/>
                <w:color w:val="auto"/>
              </w:rPr>
            </w:pPr>
          </w:p>
        </w:tc>
        <w:tc>
          <w:tcPr>
            <w:tcW w:w="34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2660" w:type="dxa"/>
            <w:vAlign w:val="bottom"/>
            <w:tcBorders>
              <w:top w:val="single" w:sz="8" w:color="auto"/>
            </w:tcBorders>
            <w:gridSpan w:val="5"/>
          </w:tcPr>
          <w:p>
            <w:pPr>
              <w:jc w:val="center"/>
              <w:ind w:right="134"/>
              <w:spacing w:after="0" w:line="119" w:lineRule="exact"/>
              <w:rPr>
                <w:sz w:val="20"/>
                <w:szCs w:val="20"/>
                <w:color w:val="auto"/>
              </w:rPr>
            </w:pPr>
            <w:r>
              <w:rPr>
                <w:rFonts w:ascii="Times New Roman" w:cs="Times New Roman" w:eastAsia="Times New Roman" w:hAnsi="Times New Roman"/>
                <w:sz w:val="13"/>
                <w:szCs w:val="13"/>
                <w:b w:val="1"/>
                <w:bCs w:val="1"/>
                <w:color w:val="auto"/>
                <w:w w:val="96"/>
              </w:rPr>
              <w:t>Assets at Fair Value as of</w:t>
            </w:r>
          </w:p>
        </w:tc>
        <w:tc>
          <w:tcPr>
            <w:tcW w:w="18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2640" w:type="dxa"/>
            <w:vAlign w:val="bottom"/>
            <w:tcBorders>
              <w:top w:val="single" w:sz="8" w:color="auto"/>
            </w:tcBorders>
            <w:gridSpan w:val="4"/>
          </w:tcPr>
          <w:p>
            <w:pPr>
              <w:jc w:val="center"/>
              <w:ind w:right="154"/>
              <w:spacing w:after="0" w:line="119" w:lineRule="exact"/>
              <w:rPr>
                <w:sz w:val="20"/>
                <w:szCs w:val="20"/>
                <w:color w:val="auto"/>
              </w:rPr>
            </w:pPr>
            <w:r>
              <w:rPr>
                <w:rFonts w:ascii="Times New Roman" w:cs="Times New Roman" w:eastAsia="Times New Roman" w:hAnsi="Times New Roman"/>
                <w:sz w:val="13"/>
                <w:szCs w:val="13"/>
                <w:b w:val="1"/>
                <w:bCs w:val="1"/>
                <w:color w:val="auto"/>
                <w:w w:val="96"/>
              </w:rPr>
              <w:t>Assets at Fair Value as of</w:t>
            </w:r>
          </w:p>
        </w:tc>
        <w:tc>
          <w:tcPr>
            <w:tcW w:w="760" w:type="dxa"/>
            <w:vAlign w:val="bottom"/>
            <w:gridSpan w:val="2"/>
          </w:tcPr>
          <w:p>
            <w:pPr>
              <w:spacing w:after="0"/>
              <w:rPr>
                <w:sz w:val="10"/>
                <w:szCs w:val="10"/>
                <w:color w:val="auto"/>
              </w:rPr>
            </w:pPr>
          </w:p>
        </w:tc>
      </w:tr>
      <w:tr>
        <w:trPr>
          <w:trHeight w:val="166"/>
        </w:trPr>
        <w:tc>
          <w:tcPr>
            <w:tcW w:w="66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60" w:type="dxa"/>
            <w:vAlign w:val="bottom"/>
            <w:gridSpan w:val="5"/>
          </w:tcPr>
          <w:p>
            <w:pPr>
              <w:jc w:val="center"/>
              <w:ind w:right="114"/>
              <w:spacing w:after="0"/>
              <w:rPr>
                <w:sz w:val="20"/>
                <w:szCs w:val="20"/>
                <w:color w:val="auto"/>
              </w:rPr>
            </w:pPr>
            <w:r>
              <w:rPr>
                <w:rFonts w:ascii="Times New Roman" w:cs="Times New Roman" w:eastAsia="Times New Roman" w:hAnsi="Times New Roman"/>
                <w:sz w:val="13"/>
                <w:szCs w:val="13"/>
                <w:b w:val="1"/>
                <w:bCs w:val="1"/>
                <w:color w:val="auto"/>
                <w:w w:val="97"/>
              </w:rPr>
              <w:t>December 31, 2025</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0" w:type="dxa"/>
            <w:vAlign w:val="bottom"/>
            <w:gridSpan w:val="6"/>
          </w:tcPr>
          <w:p>
            <w:pPr>
              <w:jc w:val="center"/>
              <w:ind w:right="1020"/>
              <w:spacing w:after="0"/>
              <w:rPr>
                <w:sz w:val="20"/>
                <w:szCs w:val="20"/>
                <w:color w:val="auto"/>
              </w:rPr>
            </w:pPr>
            <w:r>
              <w:rPr>
                <w:rFonts w:ascii="Times New Roman" w:cs="Times New Roman" w:eastAsia="Times New Roman" w:hAnsi="Times New Roman"/>
                <w:sz w:val="13"/>
                <w:szCs w:val="13"/>
                <w:b w:val="1"/>
                <w:bCs w:val="1"/>
                <w:color w:val="auto"/>
                <w:w w:val="97"/>
              </w:rPr>
              <w:t>December 31, 2024</w:t>
            </w:r>
          </w:p>
        </w:tc>
      </w:tr>
      <w:tr>
        <w:trPr>
          <w:trHeight w:val="131"/>
        </w:trPr>
        <w:tc>
          <w:tcPr>
            <w:tcW w:w="660" w:type="dxa"/>
            <w:vAlign w:val="bottom"/>
          </w:tcPr>
          <w:p>
            <w:pPr>
              <w:spacing w:after="0"/>
              <w:rPr>
                <w:sz w:val="11"/>
                <w:szCs w:val="11"/>
                <w:color w:val="auto"/>
              </w:rPr>
            </w:pPr>
          </w:p>
        </w:tc>
        <w:tc>
          <w:tcPr>
            <w:tcW w:w="3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1000" w:type="dxa"/>
            <w:vAlign w:val="bottom"/>
            <w:tcBorders>
              <w:top w:val="single" w:sz="8" w:color="auto"/>
              <w:bottom w:val="single" w:sz="8" w:color="auto"/>
            </w:tcBorders>
          </w:tcPr>
          <w:p>
            <w:pPr>
              <w:jc w:val="right"/>
              <w:ind w:right="320"/>
              <w:spacing w:after="0" w:line="131" w:lineRule="exact"/>
              <w:rPr>
                <w:sz w:val="20"/>
                <w:szCs w:val="20"/>
                <w:color w:val="auto"/>
              </w:rPr>
            </w:pPr>
            <w:r>
              <w:rPr>
                <w:rFonts w:ascii="Times New Roman" w:cs="Times New Roman" w:eastAsia="Times New Roman" w:hAnsi="Times New Roman"/>
                <w:sz w:val="13"/>
                <w:szCs w:val="13"/>
                <w:b w:val="1"/>
                <w:bCs w:val="1"/>
                <w:color w:val="auto"/>
              </w:rPr>
              <w:t>Level 1</w:t>
            </w:r>
          </w:p>
        </w:tc>
        <w:tc>
          <w:tcPr>
            <w:tcW w:w="1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40" w:type="dxa"/>
            <w:vAlign w:val="bottom"/>
            <w:tcBorders>
              <w:top w:val="single" w:sz="8" w:color="auto"/>
              <w:bottom w:val="single" w:sz="8" w:color="auto"/>
            </w:tcBorders>
          </w:tcPr>
          <w:p>
            <w:pPr>
              <w:spacing w:after="0"/>
              <w:rPr>
                <w:sz w:val="11"/>
                <w:szCs w:val="11"/>
                <w:color w:val="auto"/>
              </w:rPr>
            </w:pPr>
          </w:p>
        </w:tc>
        <w:tc>
          <w:tcPr>
            <w:tcW w:w="1220" w:type="dxa"/>
            <w:vAlign w:val="bottom"/>
            <w:tcBorders>
              <w:top w:val="single" w:sz="8" w:color="auto"/>
              <w:bottom w:val="single" w:sz="8" w:color="auto"/>
            </w:tcBorders>
          </w:tcPr>
          <w:p>
            <w:pPr>
              <w:jc w:val="right"/>
              <w:ind w:right="514"/>
              <w:spacing w:after="0" w:line="131" w:lineRule="exact"/>
              <w:rPr>
                <w:sz w:val="20"/>
                <w:szCs w:val="20"/>
                <w:color w:val="auto"/>
              </w:rPr>
            </w:pPr>
            <w:r>
              <w:rPr>
                <w:rFonts w:ascii="Times New Roman" w:cs="Times New Roman" w:eastAsia="Times New Roman" w:hAnsi="Times New Roman"/>
                <w:sz w:val="13"/>
                <w:szCs w:val="13"/>
                <w:b w:val="1"/>
                <w:bCs w:val="1"/>
                <w:color w:val="auto"/>
              </w:rPr>
              <w:t>Total</w:t>
            </w:r>
          </w:p>
        </w:tc>
        <w:tc>
          <w:tcPr>
            <w:tcW w:w="180" w:type="dxa"/>
            <w:vAlign w:val="bottom"/>
          </w:tcPr>
          <w:p>
            <w:pPr>
              <w:spacing w:after="0"/>
              <w:rPr>
                <w:sz w:val="11"/>
                <w:szCs w:val="11"/>
                <w:color w:val="auto"/>
              </w:rPr>
            </w:pPr>
          </w:p>
        </w:tc>
        <w:tc>
          <w:tcPr>
            <w:tcW w:w="240" w:type="dxa"/>
            <w:vAlign w:val="bottom"/>
            <w:tcBorders>
              <w:top w:val="single" w:sz="8" w:color="auto"/>
              <w:bottom w:val="single" w:sz="8" w:color="auto"/>
            </w:tcBorders>
          </w:tcPr>
          <w:p>
            <w:pPr>
              <w:spacing w:after="0"/>
              <w:rPr>
                <w:sz w:val="11"/>
                <w:szCs w:val="11"/>
                <w:color w:val="auto"/>
              </w:rPr>
            </w:pPr>
          </w:p>
        </w:tc>
        <w:tc>
          <w:tcPr>
            <w:tcW w:w="1060" w:type="dxa"/>
            <w:vAlign w:val="bottom"/>
            <w:tcBorders>
              <w:top w:val="single" w:sz="8" w:color="auto"/>
              <w:bottom w:val="single" w:sz="8" w:color="auto"/>
            </w:tcBorders>
          </w:tcPr>
          <w:p>
            <w:pPr>
              <w:jc w:val="right"/>
              <w:ind w:right="382"/>
              <w:spacing w:after="0" w:line="131" w:lineRule="exact"/>
              <w:rPr>
                <w:sz w:val="20"/>
                <w:szCs w:val="20"/>
                <w:color w:val="auto"/>
              </w:rPr>
            </w:pPr>
            <w:r>
              <w:rPr>
                <w:rFonts w:ascii="Times New Roman" w:cs="Times New Roman" w:eastAsia="Times New Roman" w:hAnsi="Times New Roman"/>
                <w:sz w:val="13"/>
                <w:szCs w:val="13"/>
                <w:b w:val="1"/>
                <w:bCs w:val="1"/>
                <w:color w:val="auto"/>
              </w:rPr>
              <w:t>Level 1</w:t>
            </w:r>
          </w:p>
        </w:tc>
        <w:tc>
          <w:tcPr>
            <w:tcW w:w="180" w:type="dxa"/>
            <w:vAlign w:val="bottom"/>
            <w:tcBorders>
              <w:top w:val="single" w:sz="8" w:color="auto"/>
            </w:tcBorders>
          </w:tcPr>
          <w:p>
            <w:pPr>
              <w:spacing w:after="0"/>
              <w:rPr>
                <w:sz w:val="11"/>
                <w:szCs w:val="11"/>
                <w:color w:val="auto"/>
              </w:rPr>
            </w:pPr>
          </w:p>
        </w:tc>
        <w:tc>
          <w:tcPr>
            <w:tcW w:w="220" w:type="dxa"/>
            <w:vAlign w:val="bottom"/>
            <w:tcBorders>
              <w:top w:val="single" w:sz="8" w:color="auto"/>
              <w:bottom w:val="single" w:sz="8" w:color="auto"/>
            </w:tcBorders>
          </w:tcPr>
          <w:p>
            <w:pPr>
              <w:spacing w:after="0"/>
              <w:rPr>
                <w:sz w:val="11"/>
                <w:szCs w:val="11"/>
                <w:color w:val="auto"/>
              </w:rPr>
            </w:pPr>
          </w:p>
        </w:tc>
        <w:tc>
          <w:tcPr>
            <w:tcW w:w="1180" w:type="dxa"/>
            <w:vAlign w:val="bottom"/>
            <w:tcBorders>
              <w:top w:val="single" w:sz="8" w:color="auto"/>
              <w:bottom w:val="single" w:sz="8" w:color="auto"/>
            </w:tcBorders>
          </w:tcPr>
          <w:p>
            <w:pPr>
              <w:jc w:val="right"/>
              <w:ind w:right="474"/>
              <w:spacing w:after="0" w:line="131" w:lineRule="exact"/>
              <w:rPr>
                <w:sz w:val="20"/>
                <w:szCs w:val="20"/>
                <w:color w:val="auto"/>
              </w:rPr>
            </w:pPr>
            <w:r>
              <w:rPr>
                <w:rFonts w:ascii="Times New Roman" w:cs="Times New Roman" w:eastAsia="Times New Roman" w:hAnsi="Times New Roman"/>
                <w:sz w:val="13"/>
                <w:szCs w:val="13"/>
                <w:b w:val="1"/>
                <w:bCs w:val="1"/>
                <w:color w:val="auto"/>
              </w:rPr>
              <w:t>Total</w:t>
            </w:r>
          </w:p>
        </w:tc>
        <w:tc>
          <w:tcPr>
            <w:tcW w:w="760" w:type="dxa"/>
            <w:vAlign w:val="bottom"/>
            <w:gridSpan w:val="2"/>
          </w:tcPr>
          <w:p>
            <w:pPr>
              <w:spacing w:after="0"/>
              <w:rPr>
                <w:sz w:val="11"/>
                <w:szCs w:val="11"/>
                <w:color w:val="auto"/>
              </w:rPr>
            </w:pPr>
          </w:p>
        </w:tc>
      </w:tr>
      <w:tr>
        <w:trPr>
          <w:trHeight w:val="183"/>
        </w:trPr>
        <w:tc>
          <w:tcPr>
            <w:tcW w:w="660" w:type="dxa"/>
            <w:vAlign w:val="bottom"/>
          </w:tcPr>
          <w:p>
            <w:pPr>
              <w:spacing w:after="0"/>
              <w:rPr>
                <w:sz w:val="15"/>
                <w:szCs w:val="15"/>
                <w:color w:val="auto"/>
              </w:rPr>
            </w:pPr>
          </w:p>
        </w:tc>
        <w:tc>
          <w:tcPr>
            <w:tcW w:w="3420" w:type="dxa"/>
            <w:vAlign w:val="bottom"/>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Corporate stock</w:t>
            </w:r>
          </w:p>
        </w:tc>
        <w:tc>
          <w:tcPr>
            <w:tcW w:w="480" w:type="dxa"/>
            <w:vAlign w:val="bottom"/>
            <w:gridSpan w:val="2"/>
            <w:shd w:val="clear" w:color="auto" w:fill="CFF0FC"/>
          </w:tcPr>
          <w:p>
            <w:pPr>
              <w:jc w:val="right"/>
              <w:ind w:right="10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12,528,240</w:t>
            </w:r>
          </w:p>
        </w:tc>
        <w:tc>
          <w:tcPr>
            <w:tcW w:w="100" w:type="dxa"/>
            <w:vAlign w:val="bottom"/>
            <w:shd w:val="clear" w:color="auto" w:fill="CFF0FC"/>
          </w:tcPr>
          <w:p>
            <w:pPr>
              <w:spacing w:after="0"/>
              <w:rPr>
                <w:sz w:val="15"/>
                <w:szCs w:val="15"/>
                <w:color w:val="auto"/>
              </w:rPr>
            </w:pPr>
          </w:p>
        </w:tc>
        <w:tc>
          <w:tcPr>
            <w:tcW w:w="340" w:type="dxa"/>
            <w:vAlign w:val="bottom"/>
            <w:gridSpan w:val="2"/>
            <w:shd w:val="clear" w:color="auto" w:fill="CFF0FC"/>
          </w:tcPr>
          <w:p>
            <w:pPr>
              <w:jc w:val="center"/>
              <w:ind w:right="6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12,528,240</w:t>
            </w:r>
          </w:p>
        </w:tc>
        <w:tc>
          <w:tcPr>
            <w:tcW w:w="420" w:type="dxa"/>
            <w:vAlign w:val="bottom"/>
            <w:gridSpan w:val="2"/>
            <w:shd w:val="clear" w:color="auto" w:fill="CFF0FC"/>
          </w:tcPr>
          <w:p>
            <w:pPr>
              <w:jc w:val="right"/>
              <w:ind w:right="14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13,233,755</w:t>
            </w:r>
          </w:p>
        </w:tc>
        <w:tc>
          <w:tcPr>
            <w:tcW w:w="400" w:type="dxa"/>
            <w:vAlign w:val="bottom"/>
            <w:gridSpan w:val="2"/>
            <w:shd w:val="clear" w:color="auto" w:fill="CFF0FC"/>
          </w:tcPr>
          <w:p>
            <w:pPr>
              <w:jc w:val="right"/>
              <w:ind w:right="12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13,233,755</w:t>
            </w:r>
          </w:p>
        </w:tc>
        <w:tc>
          <w:tcPr>
            <w:tcW w:w="100" w:type="dxa"/>
            <w:vAlign w:val="bottom"/>
            <w:shd w:val="clear" w:color="auto" w:fill="CFF0FC"/>
          </w:tcPr>
          <w:p>
            <w:pPr>
              <w:spacing w:after="0"/>
              <w:rPr>
                <w:sz w:val="15"/>
                <w:szCs w:val="15"/>
                <w:color w:val="auto"/>
              </w:rPr>
            </w:pPr>
          </w:p>
        </w:tc>
        <w:tc>
          <w:tcPr>
            <w:tcW w:w="660" w:type="dxa"/>
            <w:vAlign w:val="bottom"/>
          </w:tcPr>
          <w:p>
            <w:pPr>
              <w:spacing w:after="0"/>
              <w:rPr>
                <w:sz w:val="15"/>
                <w:szCs w:val="15"/>
                <w:color w:val="auto"/>
              </w:rPr>
            </w:pPr>
          </w:p>
        </w:tc>
      </w:tr>
      <w:tr>
        <w:trPr>
          <w:trHeight w:val="189"/>
        </w:trPr>
        <w:tc>
          <w:tcPr>
            <w:tcW w:w="660" w:type="dxa"/>
            <w:vAlign w:val="bottom"/>
          </w:tcPr>
          <w:p>
            <w:pPr>
              <w:spacing w:after="0"/>
              <w:rPr>
                <w:sz w:val="16"/>
                <w:szCs w:val="16"/>
                <w:color w:val="auto"/>
              </w:rPr>
            </w:pPr>
          </w:p>
        </w:tc>
        <w:tc>
          <w:tcPr>
            <w:tcW w:w="34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Mutual funds</w:t>
            </w: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462,835,402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462,835,402</w:t>
            </w: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375,513,146</w:t>
            </w: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375,513,146</w:t>
            </w: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189"/>
        </w:trPr>
        <w:tc>
          <w:tcPr>
            <w:tcW w:w="660" w:type="dxa"/>
            <w:vAlign w:val="bottom"/>
          </w:tcPr>
          <w:p>
            <w:pPr>
              <w:spacing w:after="0"/>
              <w:rPr>
                <w:sz w:val="16"/>
                <w:szCs w:val="16"/>
                <w:color w:val="auto"/>
              </w:rPr>
            </w:pPr>
          </w:p>
        </w:tc>
        <w:tc>
          <w:tcPr>
            <w:tcW w:w="3420" w:type="dxa"/>
            <w:vAlign w:val="bottom"/>
            <w:tcBorders>
              <w:bottom w:val="single" w:sz="8" w:color="CFF0FC"/>
            </w:tcBorders>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Self-directed brokerage accounts</w:t>
            </w:r>
          </w:p>
        </w:tc>
        <w:tc>
          <w:tcPr>
            <w:tcW w:w="300" w:type="dxa"/>
            <w:vAlign w:val="bottom"/>
            <w:tcBorders>
              <w:bottom w:val="single" w:sz="8" w:color="CFF0FC"/>
            </w:tcBorders>
            <w:shd w:val="clear" w:color="auto" w:fill="CFF0FC"/>
          </w:tcPr>
          <w:p>
            <w:pPr>
              <w:spacing w:after="0"/>
              <w:rPr>
                <w:sz w:val="16"/>
                <w:szCs w:val="16"/>
                <w:color w:val="auto"/>
              </w:rPr>
            </w:pPr>
          </w:p>
        </w:tc>
        <w:tc>
          <w:tcPr>
            <w:tcW w:w="180" w:type="dxa"/>
            <w:vAlign w:val="bottom"/>
            <w:tcBorders>
              <w:bottom w:val="single" w:sz="8" w:color="auto"/>
            </w:tcBorders>
            <w:shd w:val="clear" w:color="auto" w:fill="CFF0FC"/>
          </w:tcPr>
          <w:p>
            <w:pPr>
              <w:spacing w:after="0"/>
              <w:rPr>
                <w:sz w:val="16"/>
                <w:szCs w:val="16"/>
                <w:color w:val="auto"/>
              </w:rPr>
            </w:pPr>
          </w:p>
        </w:tc>
        <w:tc>
          <w:tcPr>
            <w:tcW w:w="1000" w:type="dxa"/>
            <w:vAlign w:val="bottom"/>
            <w:tcBorders>
              <w:bottom w:val="single" w:sz="8" w:color="auto"/>
            </w:tcBorders>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40,157,550</w:t>
            </w:r>
          </w:p>
        </w:tc>
        <w:tc>
          <w:tcPr>
            <w:tcW w:w="10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auto"/>
            </w:tcBorders>
            <w:shd w:val="clear" w:color="auto" w:fill="CFF0FC"/>
          </w:tcPr>
          <w:p>
            <w:pPr>
              <w:spacing w:after="0"/>
              <w:rPr>
                <w:sz w:val="16"/>
                <w:szCs w:val="16"/>
                <w:color w:val="auto"/>
              </w:rPr>
            </w:pPr>
          </w:p>
        </w:tc>
        <w:tc>
          <w:tcPr>
            <w:tcW w:w="1220" w:type="dxa"/>
            <w:vAlign w:val="bottom"/>
            <w:tcBorders>
              <w:bottom w:val="single" w:sz="8" w:color="auto"/>
            </w:tcBorders>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40,157,550</w:t>
            </w:r>
          </w:p>
        </w:tc>
        <w:tc>
          <w:tcPr>
            <w:tcW w:w="18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auto"/>
            </w:tcBorders>
            <w:shd w:val="clear" w:color="auto" w:fill="CFF0FC"/>
          </w:tcPr>
          <w:p>
            <w:pPr>
              <w:spacing w:after="0"/>
              <w:rPr>
                <w:sz w:val="16"/>
                <w:szCs w:val="16"/>
                <w:color w:val="auto"/>
              </w:rPr>
            </w:pPr>
          </w:p>
        </w:tc>
        <w:tc>
          <w:tcPr>
            <w:tcW w:w="1060" w:type="dxa"/>
            <w:vAlign w:val="bottom"/>
            <w:tcBorders>
              <w:bottom w:val="single" w:sz="8" w:color="auto"/>
            </w:tcBorders>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28,542,463</w:t>
            </w:r>
          </w:p>
        </w:tc>
        <w:tc>
          <w:tcPr>
            <w:tcW w:w="180" w:type="dxa"/>
            <w:vAlign w:val="bottom"/>
            <w:tcBorders>
              <w:bottom w:val="single" w:sz="8" w:color="CFF0FC"/>
            </w:tcBorders>
            <w:shd w:val="clear" w:color="auto" w:fill="CFF0FC"/>
          </w:tcPr>
          <w:p>
            <w:pPr>
              <w:spacing w:after="0"/>
              <w:rPr>
                <w:sz w:val="16"/>
                <w:szCs w:val="16"/>
                <w:color w:val="auto"/>
              </w:rPr>
            </w:pPr>
          </w:p>
        </w:tc>
        <w:tc>
          <w:tcPr>
            <w:tcW w:w="220" w:type="dxa"/>
            <w:vAlign w:val="bottom"/>
            <w:tcBorders>
              <w:bottom w:val="single" w:sz="8" w:color="auto"/>
            </w:tcBorders>
            <w:shd w:val="clear" w:color="auto" w:fill="CFF0FC"/>
          </w:tcPr>
          <w:p>
            <w:pPr>
              <w:spacing w:after="0"/>
              <w:rPr>
                <w:sz w:val="16"/>
                <w:szCs w:val="16"/>
                <w:color w:val="auto"/>
              </w:rPr>
            </w:pPr>
          </w:p>
        </w:tc>
        <w:tc>
          <w:tcPr>
            <w:tcW w:w="1180" w:type="dxa"/>
            <w:vAlign w:val="bottom"/>
            <w:tcBorders>
              <w:bottom w:val="single" w:sz="8" w:color="auto"/>
            </w:tcBorders>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28,542,463</w:t>
            </w:r>
          </w:p>
        </w:tc>
        <w:tc>
          <w:tcPr>
            <w:tcW w:w="100" w:type="dxa"/>
            <w:vAlign w:val="bottom"/>
            <w:tcBorders>
              <w:bottom w:val="single" w:sz="8" w:color="CFF0FC"/>
            </w:tcBorders>
            <w:shd w:val="clear" w:color="auto" w:fill="CFF0FC"/>
          </w:tcPr>
          <w:p>
            <w:pPr>
              <w:spacing w:after="0"/>
              <w:rPr>
                <w:sz w:val="16"/>
                <w:szCs w:val="16"/>
                <w:color w:val="auto"/>
              </w:rPr>
            </w:pPr>
          </w:p>
        </w:tc>
        <w:tc>
          <w:tcPr>
            <w:tcW w:w="660" w:type="dxa"/>
            <w:vAlign w:val="bottom"/>
          </w:tcPr>
          <w:p>
            <w:pPr>
              <w:spacing w:after="0"/>
              <w:rPr>
                <w:sz w:val="16"/>
                <w:szCs w:val="16"/>
                <w:color w:val="auto"/>
              </w:rPr>
            </w:pPr>
          </w:p>
        </w:tc>
      </w:tr>
      <w:tr>
        <w:trPr>
          <w:trHeight w:val="183"/>
        </w:trPr>
        <w:tc>
          <w:tcPr>
            <w:tcW w:w="660" w:type="dxa"/>
            <w:vAlign w:val="bottom"/>
          </w:tcPr>
          <w:p>
            <w:pPr>
              <w:spacing w:after="0"/>
              <w:rPr>
                <w:sz w:val="15"/>
                <w:szCs w:val="15"/>
                <w:color w:val="auto"/>
              </w:rPr>
            </w:pPr>
          </w:p>
        </w:tc>
        <w:tc>
          <w:tcPr>
            <w:tcW w:w="342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Total assets in the fair value hierarchy</w:t>
            </w:r>
          </w:p>
        </w:tc>
        <w:tc>
          <w:tcPr>
            <w:tcW w:w="3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515,521,192</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515,521,192</w:t>
            </w:r>
          </w:p>
        </w:tc>
        <w:tc>
          <w:tcPr>
            <w:tcW w:w="1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417,289,364</w:t>
            </w:r>
          </w:p>
        </w:tc>
        <w:tc>
          <w:tcPr>
            <w:tcW w:w="1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417,289,364</w:t>
            </w: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83"/>
        </w:trPr>
        <w:tc>
          <w:tcPr>
            <w:tcW w:w="660" w:type="dxa"/>
            <w:vAlign w:val="bottom"/>
          </w:tcPr>
          <w:p>
            <w:pPr>
              <w:spacing w:after="0"/>
              <w:rPr>
                <w:sz w:val="15"/>
                <w:szCs w:val="15"/>
                <w:color w:val="auto"/>
              </w:rPr>
            </w:pPr>
          </w:p>
        </w:tc>
        <w:tc>
          <w:tcPr>
            <w:tcW w:w="3420" w:type="dxa"/>
            <w:vAlign w:val="bottom"/>
            <w:shd w:val="clear" w:color="auto" w:fill="CFF0FC"/>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Investments measured at net asset value:</w:t>
            </w:r>
          </w:p>
        </w:tc>
        <w:tc>
          <w:tcPr>
            <w:tcW w:w="3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60" w:type="dxa"/>
            <w:vAlign w:val="bottom"/>
          </w:tcPr>
          <w:p>
            <w:pPr>
              <w:spacing w:after="0"/>
              <w:rPr>
                <w:sz w:val="15"/>
                <w:szCs w:val="15"/>
                <w:color w:val="auto"/>
              </w:rPr>
            </w:pPr>
          </w:p>
        </w:tc>
      </w:tr>
      <w:tr>
        <w:trPr>
          <w:trHeight w:val="189"/>
        </w:trPr>
        <w:tc>
          <w:tcPr>
            <w:tcW w:w="660" w:type="dxa"/>
            <w:vAlign w:val="bottom"/>
          </w:tcPr>
          <w:p>
            <w:pPr>
              <w:spacing w:after="0"/>
              <w:rPr>
                <w:sz w:val="16"/>
                <w:szCs w:val="16"/>
                <w:color w:val="auto"/>
              </w:rPr>
            </w:pPr>
          </w:p>
        </w:tc>
        <w:tc>
          <w:tcPr>
            <w:tcW w:w="34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Common collective trust funds</w:t>
            </w: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1,143,818,577</w:t>
            </w: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1,030,855,017</w:t>
            </w: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223"/>
        </w:trPr>
        <w:tc>
          <w:tcPr>
            <w:tcW w:w="660" w:type="dxa"/>
            <w:vAlign w:val="bottom"/>
          </w:tcPr>
          <w:p>
            <w:pPr>
              <w:spacing w:after="0"/>
              <w:rPr>
                <w:sz w:val="19"/>
                <w:szCs w:val="19"/>
                <w:color w:val="auto"/>
              </w:rPr>
            </w:pPr>
          </w:p>
        </w:tc>
        <w:tc>
          <w:tcPr>
            <w:tcW w:w="3420" w:type="dxa"/>
            <w:vAlign w:val="bottom"/>
            <w:shd w:val="clear" w:color="auto" w:fill="CFF0FC"/>
          </w:tcPr>
          <w:p>
            <w:pPr>
              <w:spacing w:after="0" w:line="169" w:lineRule="exact"/>
              <w:rPr>
                <w:sz w:val="20"/>
                <w:szCs w:val="20"/>
                <w:color w:val="auto"/>
              </w:rPr>
            </w:pPr>
            <w:r>
              <w:rPr>
                <w:rFonts w:ascii="Times New Roman" w:cs="Times New Roman" w:eastAsia="Times New Roman" w:hAnsi="Times New Roman"/>
                <w:sz w:val="18"/>
                <w:szCs w:val="18"/>
                <w:b w:val="1"/>
                <w:bCs w:val="1"/>
                <w:color w:val="auto"/>
              </w:rPr>
              <w:t>Total investments, at fair value</w:t>
            </w: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center"/>
              <w:ind w:right="60"/>
              <w:spacing w:after="0" w:line="169" w:lineRule="exact"/>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FF0FC"/>
          </w:tcPr>
          <w:p>
            <w:pPr>
              <w:jc w:val="right"/>
              <w:spacing w:after="0" w:line="169" w:lineRule="exact"/>
              <w:rPr>
                <w:sz w:val="20"/>
                <w:szCs w:val="20"/>
                <w:color w:val="auto"/>
              </w:rPr>
            </w:pPr>
            <w:r>
              <w:rPr>
                <w:rFonts w:ascii="Times New Roman" w:cs="Times New Roman" w:eastAsia="Times New Roman" w:hAnsi="Times New Roman"/>
                <w:sz w:val="18"/>
                <w:szCs w:val="18"/>
                <w:color w:val="auto"/>
              </w:rPr>
              <w:t>1,659,339,769</w:t>
            </w: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400" w:type="dxa"/>
            <w:vAlign w:val="bottom"/>
            <w:gridSpan w:val="2"/>
            <w:shd w:val="clear" w:color="auto" w:fill="CFF0FC"/>
          </w:tcPr>
          <w:p>
            <w:pPr>
              <w:jc w:val="right"/>
              <w:ind w:right="120"/>
              <w:spacing w:after="0" w:line="169" w:lineRule="exact"/>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line="169" w:lineRule="exact"/>
              <w:rPr>
                <w:sz w:val="20"/>
                <w:szCs w:val="20"/>
                <w:color w:val="auto"/>
              </w:rPr>
            </w:pPr>
            <w:r>
              <w:rPr>
                <w:rFonts w:ascii="Times New Roman" w:cs="Times New Roman" w:eastAsia="Times New Roman" w:hAnsi="Times New Roman"/>
                <w:sz w:val="18"/>
                <w:szCs w:val="18"/>
                <w:color w:val="auto"/>
              </w:rPr>
              <w:t>1,448,144,381</w:t>
            </w:r>
          </w:p>
        </w:tc>
        <w:tc>
          <w:tcPr>
            <w:tcW w:w="100" w:type="dxa"/>
            <w:vAlign w:val="bottom"/>
            <w:shd w:val="clear" w:color="auto" w:fill="CFF0FC"/>
          </w:tcPr>
          <w:p>
            <w:pPr>
              <w:spacing w:after="0"/>
              <w:rPr>
                <w:sz w:val="19"/>
                <w:szCs w:val="19"/>
                <w:color w:val="auto"/>
              </w:rPr>
            </w:pPr>
          </w:p>
        </w:tc>
        <w:tc>
          <w:tcPr>
            <w:tcW w:w="660" w:type="dxa"/>
            <w:vAlign w:val="bottom"/>
          </w:tcPr>
          <w:p>
            <w:pPr>
              <w:spacing w:after="0"/>
              <w:rPr>
                <w:sz w:val="19"/>
                <w:szCs w:val="19"/>
                <w:color w:val="auto"/>
              </w:rPr>
            </w:pPr>
          </w:p>
        </w:tc>
      </w:tr>
      <w:tr>
        <w:trPr>
          <w:trHeight w:val="412"/>
        </w:trPr>
        <w:tc>
          <w:tcPr>
            <w:tcW w:w="660" w:type="dxa"/>
            <w:vAlign w:val="bottom"/>
          </w:tcPr>
          <w:p>
            <w:pPr>
              <w:spacing w:after="0"/>
              <w:rPr>
                <w:sz w:val="24"/>
                <w:szCs w:val="24"/>
                <w:color w:val="auto"/>
              </w:rPr>
            </w:pPr>
          </w:p>
        </w:tc>
        <w:tc>
          <w:tcPr>
            <w:tcW w:w="3420" w:type="dxa"/>
            <w:vAlign w:val="bottom"/>
            <w:tcBorders>
              <w:top w:val="single" w:sz="8" w:color="CFF0FC"/>
            </w:tcBorders>
          </w:tcPr>
          <w:p>
            <w:pPr>
              <w:spacing w:after="0"/>
              <w:rPr>
                <w:sz w:val="24"/>
                <w:szCs w:val="24"/>
                <w:color w:val="auto"/>
              </w:rPr>
            </w:pPr>
          </w:p>
        </w:tc>
        <w:tc>
          <w:tcPr>
            <w:tcW w:w="300" w:type="dxa"/>
            <w:vAlign w:val="bottom"/>
            <w:tcBorders>
              <w:top w:val="single" w:sz="8" w:color="CFF0FC"/>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1100" w:type="dxa"/>
            <w:vAlign w:val="bottom"/>
            <w:tcBorders>
              <w:top w:val="single" w:sz="8" w:color="CFF0FC"/>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top w:val="single" w:sz="8" w:color="CFF0FC"/>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1060" w:type="dxa"/>
            <w:vAlign w:val="bottom"/>
            <w:tcBorders>
              <w:top w:val="single" w:sz="8" w:color="CFF0FC"/>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660" w:type="dxa"/>
            <w:vAlign w:val="bottom"/>
          </w:tcPr>
          <w:p>
            <w:pPr>
              <w:spacing w:after="0"/>
              <w:rPr>
                <w:sz w:val="24"/>
                <w:szCs w:val="24"/>
                <w:color w:val="auto"/>
              </w:rPr>
            </w:pPr>
          </w:p>
        </w:tc>
      </w:tr>
      <w:tr>
        <w:trPr>
          <w:trHeight w:val="750"/>
        </w:trPr>
        <w:tc>
          <w:tcPr>
            <w:tcW w:w="660" w:type="dxa"/>
            <w:vAlign w:val="bottom"/>
            <w:tcBorders>
              <w:bottom w:val="single" w:sz="8" w:color="9A9A9A"/>
            </w:tcBorders>
          </w:tcPr>
          <w:p>
            <w:pPr>
              <w:spacing w:after="0"/>
              <w:rPr>
                <w:sz w:val="24"/>
                <w:szCs w:val="24"/>
                <w:color w:val="auto"/>
              </w:rPr>
            </w:pPr>
          </w:p>
        </w:tc>
        <w:tc>
          <w:tcPr>
            <w:tcW w:w="34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3533140</wp:posOffset>
            </wp:positionH>
            <wp:positionV relativeFrom="paragraph">
              <wp:posOffset>-1293495</wp:posOffset>
            </wp:positionV>
            <wp:extent cx="5969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4578985</wp:posOffset>
            </wp:positionH>
            <wp:positionV relativeFrom="paragraph">
              <wp:posOffset>-1293495</wp:posOffset>
            </wp:positionV>
            <wp:extent cx="6032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5521960</wp:posOffset>
            </wp:positionH>
            <wp:positionV relativeFrom="paragraph">
              <wp:posOffset>-1293495</wp:posOffset>
            </wp:positionV>
            <wp:extent cx="6032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6533515</wp:posOffset>
            </wp:positionH>
            <wp:positionV relativeFrom="paragraph">
              <wp:posOffset>-1293495</wp:posOffset>
            </wp:positionV>
            <wp:extent cx="6032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4578985</wp:posOffset>
            </wp:positionH>
            <wp:positionV relativeFrom="paragraph">
              <wp:posOffset>-788035</wp:posOffset>
            </wp:positionV>
            <wp:extent cx="6032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4578985</wp:posOffset>
            </wp:positionH>
            <wp:positionV relativeFrom="paragraph">
              <wp:posOffset>-770890</wp:posOffset>
            </wp:positionV>
            <wp:extent cx="6032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6533515</wp:posOffset>
            </wp:positionH>
            <wp:positionV relativeFrom="paragraph">
              <wp:posOffset>-788035</wp:posOffset>
            </wp:positionV>
            <wp:extent cx="6032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6533515</wp:posOffset>
            </wp:positionH>
            <wp:positionV relativeFrom="paragraph">
              <wp:posOffset>-770890</wp:posOffset>
            </wp:positionV>
            <wp:extent cx="6032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ectPr>
          <w:pgSz w:w="11900" w:h="16838" w:orient="portrait"/>
          <w:cols w:equalWidth="0" w:num="1">
            <w:col w:w="11040"/>
          </w:cols>
          <w:pgMar w:left="420" w:top="1188" w:right="4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color w:val="auto"/>
        </w:rPr>
        <w:t>NOV Inc. 401(k) Plan</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Financial Statements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December 31, 2025</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Fully Benefit-Responsive Investment Contracts</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Plan offers an investment option called the NOV Stable Value Fund, managed by Galliard Capital Management. This fund consists of fixed income security funds that are covered by synthetic guaranteed investment contracts (synthetic GICs), which are fully benefit-responsive. Under this structure, the Plan owns both the fixed income security funds and the wrapper contracts.</w:t>
      </w:r>
    </w:p>
    <w:p>
      <w:pPr>
        <w:spacing w:after="0" w:line="6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a synthetic GIC structure, the Plan invests in fixed income security funds. To reduce the risk of losses on these investments, the Plan purchases a wrapper contract from an insurance company or bank, which enables Plan participants to transact at a specified contract value by protecting the principal amount invested over a specific period of time.</w:t>
      </w:r>
    </w:p>
    <w:p>
      <w:pPr>
        <w:spacing w:after="0" w:line="8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Fully benefit-responsive investment contracts held by a defined contribution plan are required to be reported at contract value, as this represents the amount participants would receive in permitted transactions under the Plan. The contract value represents contributions plus earnings, less participant withdrawals and administrative expenses.</w:t>
      </w:r>
    </w:p>
    <w:p>
      <w:pPr>
        <w:spacing w:after="0" w:line="8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Plan’s investments covered by the wrapper contracts earn interest at interest crediting rates that are typically reset on a monthly or quarterly basis. These rates use a formula that is based on the characteristics of the underlying fixed income portfolio.</w:t>
      </w:r>
    </w:p>
    <w:p>
      <w:pPr>
        <w:spacing w:after="0" w:line="5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Participants may ordinarily direct the withdrawal or transfer of all or a portion of their investment at contract value. Certain events limit the ability of the Plan to transact at contract value with the issuer. Such events include the following: (i) amendments to the Plan documents (including complete or partial Plan termination or merger with another plan), (ii) changes to the Plan’s prohibition on competing investment options or deletion of equity wash provisions, or (iii) bankruptcy of the Plan sponsor or other Plan sponsor events (e.g., divestitures or spin-offs of the trust to qualify for exemption from federal income taxes or any required prohibited transaction exemption under ERISA). The Plan administrator does not believe that the occurrence of any such value event, which would limit the Plan’s ability to transact at contract value with participants, is probable.</w:t>
      </w:r>
    </w:p>
    <w:p>
      <w:pPr>
        <w:spacing w:after="0" w:line="87"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In some cases, an investment contract issuer may terminate a contract with the Plan and settle at amounts different from the contract value. Examples of these events include the Plan’s loss of its qualified status, material breaches of responsibilities that are not cured, or material and adverse changes to the provisions of the Plan. If one of these events were to occur, the investment contract issuer could terminate the contract at the market value of the underlying investments.</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Common Collective Trusts</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State Street U.S. Bond Index fund is a common collective trust fund which invests primarily in government Treasury securities, corporate bonds, mortgage-backed securities (MBS), asset-backed securities (ABS), and municipal bonds to simulate the universe of bonds in the market. There are currently no redemption restrictions on this investment.</w:t>
      </w:r>
    </w:p>
    <w:p>
      <w:pPr>
        <w:spacing w:after="0" w:line="6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SEI Trust Company Short Term Investment Fund II is a common collective trust fund which invests primarily in short term fixed income securities, which is a direct filing entity with the U.S. Department of Labor. There are currently no redemption restrictions on this investment.</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Fidelity Management &amp; Research – FIAM International is a common collective trust fund that invests primarily in non-U.S. equities.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currently no redemption restrictions on this investment.</w:t>
      </w:r>
    </w:p>
    <w:p>
      <w:pPr>
        <w:spacing w:after="0" w:line="8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Great Gray Collective Investment Trust (CIT) is a common collective trust fund which invests primarily in fixed income, equity-income and balanced funds. There are currently no redemption restrictions on this investment.</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Spartan Mid Cap Index Pool is a common collective trust fund, operated and maintained by Geode Capital Management, which invests in stocks of mid-capitalized United State companies. There are currently no redemption restrictions on this investment.</w:t>
      </w:r>
    </w:p>
    <w:p>
      <w:pPr>
        <w:spacing w:after="0" w:line="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Spartan Small Cap Index Pool is a common collective trust fund, operated and maintained by Geode Capital Management, which seeks to replicate the performance and overall characteristics, before fees and expenses, of the Russell 2000 Index in a risk-controlled and cost-effective way. There are currently no redemption restrictions on this investment.</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476250</wp:posOffset>
            </wp:positionV>
            <wp:extent cx="703770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188" w:right="109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color w:val="auto"/>
        </w:rPr>
        <w:t>NOV Inc. 401(k) Plan</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Financial Statements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December 31, 2025</w:t>
      </w:r>
    </w:p>
    <w:p>
      <w:pPr>
        <w:spacing w:after="0" w:line="10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Spartan Total International Index Pool is a common collective trust fund, operated and maintained by Geode Capital Management, which seeks to replicate the performance and overall characteristics, before fees and expenses, of the MSCI ACWI (All Country World Index) ex USA Investable Market Index in a risk-managed and cost-effective way. There are currently no redemption restrictions on this investment.</w:t>
      </w:r>
    </w:p>
    <w:p>
      <w:pPr>
        <w:spacing w:after="0" w:line="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JP Morgan Large Cap Growth Fund is a common collective trust fund which invests primarily in equity securities of large, well-established companies. There are currently no redemption restrictions on this investment.</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Related Party Transactions and Parties-of-Interest Transactions</w:t>
      </w:r>
    </w:p>
    <w:p>
      <w:pPr>
        <w:spacing w:after="0" w:line="12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Certain investments of the Plan are provided through Principal, the trustee of the Plan; therefore, these transactions qualify as party-in-interest transactions. Additionally, a portion of the Plan’s assets are invested in the Company’s common stock. Because the Company is the plan sponsor, transactions involving the Company’s common stock qualify as party-in-interest transactions. All of these transactions are exempt from the prohibited transactions rules under ERISA.</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Income Tax Status</w:t>
      </w:r>
    </w:p>
    <w:p>
      <w:pPr>
        <w:spacing w:after="0" w:line="12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Effective January 1, 2023, the Plan adopted a nonstandardized prototype defined contribution profit sharing plan with Internal Revenue Code Section 401(k) Cash or Deferred Arrangement (CODA) which received a favorable opinion letter from the IRS dated June 30, 2020. The Plan has been amended since the date of the last amendment covered by the above mentioned determination letter. However, Plan management believes that the plan is currently designed and being operated in compliance with the applicable requirements of the Internal Revenue Code.</w:t>
      </w:r>
    </w:p>
    <w:p>
      <w:pPr>
        <w:spacing w:after="0" w:line="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U.S. generally accepted accounting principles requires Plan management to evaluate tax positions taken by the Plan and recognize a tax liability if the Plan has taken an uncertain position that more likely than not would not be sustained upon examination by the IRS. The Plan is subject to routine audits by taxing jurisdictions; however, there are currently no audits for any tax periods in progress.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476250</wp:posOffset>
            </wp:positionV>
            <wp:extent cx="703770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972" w:right="109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color w:val="auto"/>
        </w:rPr>
        <w:t>Supplemental Schedule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741680</wp:posOffset>
            </wp:positionV>
            <wp:extent cx="703770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972" w:right="1440"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NOV Inc. 401(k) Plan</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Plan No. 001 EIN 76-0475815</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Schedule H, Line 4(i) – Schedule of Assets (Held at End of Year)</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December 31, 2025</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4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Identity of Issue, Borrower, Lessor, or</w:t>
            </w:r>
          </w:p>
        </w:tc>
        <w:tc>
          <w:tcPr>
            <w:tcW w:w="100" w:type="dxa"/>
            <w:vAlign w:val="bottom"/>
          </w:tcPr>
          <w:p>
            <w:pPr>
              <w:spacing w:after="0"/>
              <w:rPr>
                <w:sz w:val="13"/>
                <w:szCs w:val="13"/>
                <w:color w:val="auto"/>
              </w:rPr>
            </w:pPr>
          </w:p>
        </w:tc>
        <w:tc>
          <w:tcPr>
            <w:tcW w:w="5520" w:type="dxa"/>
            <w:vAlign w:val="bottom"/>
            <w:vMerge w:val="restart"/>
          </w:tcPr>
          <w:p>
            <w:pPr>
              <w:ind w:left="1960"/>
              <w:spacing w:after="0"/>
              <w:rPr>
                <w:sz w:val="20"/>
                <w:szCs w:val="20"/>
                <w:color w:val="auto"/>
              </w:rPr>
            </w:pPr>
            <w:r>
              <w:rPr>
                <w:rFonts w:ascii="Times New Roman" w:cs="Times New Roman" w:eastAsia="Times New Roman" w:hAnsi="Times New Roman"/>
                <w:sz w:val="14"/>
                <w:szCs w:val="14"/>
                <w:b w:val="1"/>
                <w:bCs w:val="1"/>
                <w:color w:val="auto"/>
              </w:rPr>
              <w:t>Description of Investment</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vMerge w:val="restart"/>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Current Value</w:t>
            </w:r>
          </w:p>
        </w:tc>
        <w:tc>
          <w:tcPr>
            <w:tcW w:w="10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640" w:type="dxa"/>
            <w:vAlign w:val="bottom"/>
            <w:tcBorders>
              <w:bottom w:val="single" w:sz="8" w:color="auto"/>
            </w:tcBorders>
          </w:tcPr>
          <w:p>
            <w:pPr>
              <w:ind w:left="900"/>
              <w:spacing w:after="0"/>
              <w:rPr>
                <w:sz w:val="20"/>
                <w:szCs w:val="20"/>
                <w:color w:val="auto"/>
              </w:rPr>
            </w:pPr>
            <w:r>
              <w:rPr>
                <w:rFonts w:ascii="Times New Roman" w:cs="Times New Roman" w:eastAsia="Times New Roman" w:hAnsi="Times New Roman"/>
                <w:sz w:val="14"/>
                <w:szCs w:val="14"/>
                <w:b w:val="1"/>
                <w:bCs w:val="1"/>
                <w:color w:val="auto"/>
              </w:rPr>
              <w:t>Similar Party</w:t>
            </w:r>
          </w:p>
        </w:tc>
        <w:tc>
          <w:tcPr>
            <w:tcW w:w="100" w:type="dxa"/>
            <w:vAlign w:val="bottom"/>
          </w:tcPr>
          <w:p>
            <w:pPr>
              <w:spacing w:after="0"/>
              <w:rPr>
                <w:sz w:val="15"/>
                <w:szCs w:val="15"/>
                <w:color w:val="auto"/>
              </w:rPr>
            </w:pPr>
          </w:p>
        </w:tc>
        <w:tc>
          <w:tcPr>
            <w:tcW w:w="552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640" w:type="dxa"/>
            <w:vAlign w:val="bottom"/>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*National Oilwell Varco, Inc.</w:t>
            </w:r>
          </w:p>
        </w:tc>
        <w:tc>
          <w:tcPr>
            <w:tcW w:w="100" w:type="dxa"/>
            <w:vAlign w:val="bottom"/>
            <w:shd w:val="clear" w:color="auto" w:fill="CFF0FC"/>
          </w:tcPr>
          <w:p>
            <w:pPr>
              <w:spacing w:after="0"/>
              <w:rPr>
                <w:sz w:val="15"/>
                <w:szCs w:val="15"/>
                <w:color w:val="auto"/>
              </w:rPr>
            </w:pPr>
          </w:p>
        </w:tc>
        <w:tc>
          <w:tcPr>
            <w:tcW w:w="5520" w:type="dxa"/>
            <w:vAlign w:val="bottom"/>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801,550 shares of common stock</w:t>
            </w:r>
          </w:p>
        </w:tc>
        <w:tc>
          <w:tcPr>
            <w:tcW w:w="240" w:type="dxa"/>
            <w:vAlign w:val="bottom"/>
            <w:gridSpan w:val="2"/>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12,528,240</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6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BlackRock</w:t>
            </w:r>
          </w:p>
        </w:tc>
        <w:tc>
          <w:tcPr>
            <w:tcW w:w="100" w:type="dxa"/>
            <w:vAlign w:val="bottom"/>
          </w:tcPr>
          <w:p>
            <w:pPr>
              <w:spacing w:after="0"/>
              <w:rPr>
                <w:sz w:val="16"/>
                <w:szCs w:val="16"/>
                <w:color w:val="auto"/>
              </w:rPr>
            </w:pPr>
          </w:p>
        </w:tc>
        <w:tc>
          <w:tcPr>
            <w:tcW w:w="55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BlackRock High Yield Bond Portfolio</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8,567,523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64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Van Kampen Funds</w:t>
            </w:r>
          </w:p>
        </w:tc>
        <w:tc>
          <w:tcPr>
            <w:tcW w:w="100" w:type="dxa"/>
            <w:vAlign w:val="bottom"/>
            <w:shd w:val="clear" w:color="auto" w:fill="CFF0FC"/>
          </w:tcPr>
          <w:p>
            <w:pPr>
              <w:spacing w:after="0"/>
              <w:rPr>
                <w:sz w:val="16"/>
                <w:szCs w:val="16"/>
                <w:color w:val="auto"/>
              </w:rPr>
            </w:pPr>
          </w:p>
        </w:tc>
        <w:tc>
          <w:tcPr>
            <w:tcW w:w="552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Invesco Growth &amp; Income Fund</w:t>
            </w: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59,313,502</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6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Frost Funds</w:t>
            </w:r>
          </w:p>
        </w:tc>
        <w:tc>
          <w:tcPr>
            <w:tcW w:w="100" w:type="dxa"/>
            <w:vAlign w:val="bottom"/>
          </w:tcPr>
          <w:p>
            <w:pPr>
              <w:spacing w:after="0"/>
              <w:rPr>
                <w:sz w:val="16"/>
                <w:szCs w:val="16"/>
                <w:color w:val="auto"/>
              </w:rPr>
            </w:pPr>
          </w:p>
        </w:tc>
        <w:tc>
          <w:tcPr>
            <w:tcW w:w="55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Frost Total Return Bond Fund</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54,417,791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64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Vanguard</w:t>
            </w:r>
          </w:p>
        </w:tc>
        <w:tc>
          <w:tcPr>
            <w:tcW w:w="100" w:type="dxa"/>
            <w:vAlign w:val="bottom"/>
            <w:shd w:val="clear" w:color="auto" w:fill="CFF0FC"/>
          </w:tcPr>
          <w:p>
            <w:pPr>
              <w:spacing w:after="0"/>
              <w:rPr>
                <w:sz w:val="16"/>
                <w:szCs w:val="16"/>
                <w:color w:val="auto"/>
              </w:rPr>
            </w:pPr>
          </w:p>
        </w:tc>
        <w:tc>
          <w:tcPr>
            <w:tcW w:w="552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Vanguard Inflation Protected Securities Fund</w:t>
            </w: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10,401,856</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6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Vanguard</w:t>
            </w:r>
          </w:p>
        </w:tc>
        <w:tc>
          <w:tcPr>
            <w:tcW w:w="100" w:type="dxa"/>
            <w:vAlign w:val="bottom"/>
          </w:tcPr>
          <w:p>
            <w:pPr>
              <w:spacing w:after="0"/>
              <w:rPr>
                <w:sz w:val="16"/>
                <w:szCs w:val="16"/>
                <w:color w:val="auto"/>
              </w:rPr>
            </w:pPr>
          </w:p>
        </w:tc>
        <w:tc>
          <w:tcPr>
            <w:tcW w:w="55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Vanguard Small Cap Growth Index Fund</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46,243,032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64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Vanguard</w:t>
            </w:r>
          </w:p>
        </w:tc>
        <w:tc>
          <w:tcPr>
            <w:tcW w:w="100" w:type="dxa"/>
            <w:vAlign w:val="bottom"/>
            <w:shd w:val="clear" w:color="auto" w:fill="CFF0FC"/>
          </w:tcPr>
          <w:p>
            <w:pPr>
              <w:spacing w:after="0"/>
              <w:rPr>
                <w:sz w:val="16"/>
                <w:szCs w:val="16"/>
                <w:color w:val="auto"/>
              </w:rPr>
            </w:pPr>
          </w:p>
        </w:tc>
        <w:tc>
          <w:tcPr>
            <w:tcW w:w="552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Vanguard Institutional Index Fund</w:t>
            </w: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211,252,526</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6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Fidelity</w:t>
            </w:r>
          </w:p>
        </w:tc>
        <w:tc>
          <w:tcPr>
            <w:tcW w:w="100" w:type="dxa"/>
            <w:vAlign w:val="bottom"/>
          </w:tcPr>
          <w:p>
            <w:pPr>
              <w:spacing w:after="0"/>
              <w:rPr>
                <w:sz w:val="16"/>
                <w:szCs w:val="16"/>
                <w:color w:val="auto"/>
              </w:rPr>
            </w:pPr>
          </w:p>
        </w:tc>
        <w:tc>
          <w:tcPr>
            <w:tcW w:w="55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FIAM International Capital Appreciation Class B CIT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53,575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64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Fidelity</w:t>
            </w:r>
          </w:p>
        </w:tc>
        <w:tc>
          <w:tcPr>
            <w:tcW w:w="100" w:type="dxa"/>
            <w:vAlign w:val="bottom"/>
            <w:shd w:val="clear" w:color="auto" w:fill="CFF0FC"/>
          </w:tcPr>
          <w:p>
            <w:pPr>
              <w:spacing w:after="0"/>
              <w:rPr>
                <w:sz w:val="16"/>
                <w:szCs w:val="16"/>
                <w:color w:val="auto"/>
              </w:rPr>
            </w:pPr>
          </w:p>
        </w:tc>
        <w:tc>
          <w:tcPr>
            <w:tcW w:w="552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Fidelity International Bond Index Fund</w:t>
            </w: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3,029,735</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6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JP Morgan</w:t>
            </w:r>
          </w:p>
        </w:tc>
        <w:tc>
          <w:tcPr>
            <w:tcW w:w="100" w:type="dxa"/>
            <w:vAlign w:val="bottom"/>
          </w:tcPr>
          <w:p>
            <w:pPr>
              <w:spacing w:after="0"/>
              <w:rPr>
                <w:sz w:val="16"/>
                <w:szCs w:val="16"/>
                <w:color w:val="auto"/>
              </w:rPr>
            </w:pPr>
          </w:p>
        </w:tc>
        <w:tc>
          <w:tcPr>
            <w:tcW w:w="55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Undiscovered Managers Behavioral Value Fund</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18,138,222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64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State Street</w:t>
            </w:r>
          </w:p>
        </w:tc>
        <w:tc>
          <w:tcPr>
            <w:tcW w:w="100" w:type="dxa"/>
            <w:vAlign w:val="bottom"/>
            <w:shd w:val="clear" w:color="auto" w:fill="CFF0FC"/>
          </w:tcPr>
          <w:p>
            <w:pPr>
              <w:spacing w:after="0"/>
              <w:rPr>
                <w:sz w:val="16"/>
                <w:szCs w:val="16"/>
                <w:color w:val="auto"/>
              </w:rPr>
            </w:pPr>
          </w:p>
        </w:tc>
        <w:tc>
          <w:tcPr>
            <w:tcW w:w="552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State Street U.S. Bond Index Fund</w:t>
            </w: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4,935,918</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6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Dimensional Funds</w:t>
            </w:r>
          </w:p>
        </w:tc>
        <w:tc>
          <w:tcPr>
            <w:tcW w:w="100" w:type="dxa"/>
            <w:vAlign w:val="bottom"/>
          </w:tcPr>
          <w:p>
            <w:pPr>
              <w:spacing w:after="0"/>
              <w:rPr>
                <w:sz w:val="16"/>
                <w:szCs w:val="16"/>
                <w:color w:val="auto"/>
              </w:rPr>
            </w:pPr>
          </w:p>
        </w:tc>
        <w:tc>
          <w:tcPr>
            <w:tcW w:w="55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DFA International Value</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47,680,282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64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Dimensional Funds</w:t>
            </w:r>
          </w:p>
        </w:tc>
        <w:tc>
          <w:tcPr>
            <w:tcW w:w="100" w:type="dxa"/>
            <w:vAlign w:val="bottom"/>
            <w:shd w:val="clear" w:color="auto" w:fill="CFF0FC"/>
          </w:tcPr>
          <w:p>
            <w:pPr>
              <w:spacing w:after="0"/>
              <w:rPr>
                <w:sz w:val="16"/>
                <w:szCs w:val="16"/>
                <w:color w:val="auto"/>
              </w:rPr>
            </w:pPr>
          </w:p>
        </w:tc>
        <w:tc>
          <w:tcPr>
            <w:tcW w:w="552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DFA Global Real Estate Securities</w:t>
            </w: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3,790,933</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6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SEI Trust Company</w:t>
            </w:r>
          </w:p>
        </w:tc>
        <w:tc>
          <w:tcPr>
            <w:tcW w:w="100" w:type="dxa"/>
            <w:vAlign w:val="bottom"/>
          </w:tcPr>
          <w:p>
            <w:pPr>
              <w:spacing w:after="0"/>
              <w:rPr>
                <w:sz w:val="16"/>
                <w:szCs w:val="16"/>
                <w:color w:val="auto"/>
              </w:rPr>
            </w:pPr>
          </w:p>
        </w:tc>
        <w:tc>
          <w:tcPr>
            <w:tcW w:w="55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Galliard Intermediate Core Fund A</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48,706,237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64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SEI Trust Company</w:t>
            </w:r>
          </w:p>
        </w:tc>
        <w:tc>
          <w:tcPr>
            <w:tcW w:w="100" w:type="dxa"/>
            <w:vAlign w:val="bottom"/>
            <w:shd w:val="clear" w:color="auto" w:fill="CFF0FC"/>
          </w:tcPr>
          <w:p>
            <w:pPr>
              <w:spacing w:after="0"/>
              <w:rPr>
                <w:sz w:val="16"/>
                <w:szCs w:val="16"/>
                <w:color w:val="auto"/>
              </w:rPr>
            </w:pPr>
          </w:p>
        </w:tc>
        <w:tc>
          <w:tcPr>
            <w:tcW w:w="552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Galliard Intermediate Core Fund L</w:t>
            </w: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48,214,841</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6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SEI Trust Company</w:t>
            </w:r>
          </w:p>
        </w:tc>
        <w:tc>
          <w:tcPr>
            <w:tcW w:w="100" w:type="dxa"/>
            <w:vAlign w:val="bottom"/>
          </w:tcPr>
          <w:p>
            <w:pPr>
              <w:spacing w:after="0"/>
              <w:rPr>
                <w:sz w:val="16"/>
                <w:szCs w:val="16"/>
                <w:color w:val="auto"/>
              </w:rPr>
            </w:pPr>
          </w:p>
        </w:tc>
        <w:tc>
          <w:tcPr>
            <w:tcW w:w="55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Galliard Short Core Fund F</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59,263,889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64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SEI Trust Company</w:t>
            </w:r>
          </w:p>
        </w:tc>
        <w:tc>
          <w:tcPr>
            <w:tcW w:w="100" w:type="dxa"/>
            <w:vAlign w:val="bottom"/>
            <w:shd w:val="clear" w:color="auto" w:fill="CFF0FC"/>
          </w:tcPr>
          <w:p>
            <w:pPr>
              <w:spacing w:after="0"/>
              <w:rPr>
                <w:sz w:val="16"/>
                <w:szCs w:val="16"/>
                <w:color w:val="auto"/>
              </w:rPr>
            </w:pPr>
          </w:p>
        </w:tc>
        <w:tc>
          <w:tcPr>
            <w:tcW w:w="552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Short Term Investment Fund II</w:t>
            </w: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3,745,940</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6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Great Gray Trust Company</w:t>
            </w:r>
          </w:p>
        </w:tc>
        <w:tc>
          <w:tcPr>
            <w:tcW w:w="100" w:type="dxa"/>
            <w:vAlign w:val="bottom"/>
          </w:tcPr>
          <w:p>
            <w:pPr>
              <w:spacing w:after="0"/>
              <w:rPr>
                <w:sz w:val="16"/>
                <w:szCs w:val="16"/>
                <w:color w:val="auto"/>
              </w:rPr>
            </w:pPr>
          </w:p>
        </w:tc>
        <w:tc>
          <w:tcPr>
            <w:tcW w:w="55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Great Gray CIT 2010 Target Date Trust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6,100,666</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64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Great Gray Trust Company</w:t>
            </w:r>
          </w:p>
        </w:tc>
        <w:tc>
          <w:tcPr>
            <w:tcW w:w="100" w:type="dxa"/>
            <w:vAlign w:val="bottom"/>
            <w:shd w:val="clear" w:color="auto" w:fill="CFF0FC"/>
          </w:tcPr>
          <w:p>
            <w:pPr>
              <w:spacing w:after="0"/>
              <w:rPr>
                <w:sz w:val="16"/>
                <w:szCs w:val="16"/>
                <w:color w:val="auto"/>
              </w:rPr>
            </w:pPr>
          </w:p>
        </w:tc>
        <w:tc>
          <w:tcPr>
            <w:tcW w:w="552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Great Gray CIT 2015 Target Date Trust</w:t>
            </w: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2,477,276</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6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Great Gray Trust Company</w:t>
            </w:r>
          </w:p>
        </w:tc>
        <w:tc>
          <w:tcPr>
            <w:tcW w:w="100" w:type="dxa"/>
            <w:vAlign w:val="bottom"/>
          </w:tcPr>
          <w:p>
            <w:pPr>
              <w:spacing w:after="0"/>
              <w:rPr>
                <w:sz w:val="16"/>
                <w:szCs w:val="16"/>
                <w:color w:val="auto"/>
              </w:rPr>
            </w:pPr>
          </w:p>
        </w:tc>
        <w:tc>
          <w:tcPr>
            <w:tcW w:w="55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Great Gray CIT 2020 Target Date Trust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28,602,573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64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Great Gray Trust Company</w:t>
            </w:r>
          </w:p>
        </w:tc>
        <w:tc>
          <w:tcPr>
            <w:tcW w:w="100" w:type="dxa"/>
            <w:vAlign w:val="bottom"/>
            <w:shd w:val="clear" w:color="auto" w:fill="CFF0FC"/>
          </w:tcPr>
          <w:p>
            <w:pPr>
              <w:spacing w:after="0"/>
              <w:rPr>
                <w:sz w:val="16"/>
                <w:szCs w:val="16"/>
                <w:color w:val="auto"/>
              </w:rPr>
            </w:pPr>
          </w:p>
        </w:tc>
        <w:tc>
          <w:tcPr>
            <w:tcW w:w="552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Great Gray CIT 2025 Target Date Trust</w:t>
            </w: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36,294,437</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6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Great Gray Trust Company</w:t>
            </w:r>
          </w:p>
        </w:tc>
        <w:tc>
          <w:tcPr>
            <w:tcW w:w="100" w:type="dxa"/>
            <w:vAlign w:val="bottom"/>
          </w:tcPr>
          <w:p>
            <w:pPr>
              <w:spacing w:after="0"/>
              <w:rPr>
                <w:sz w:val="16"/>
                <w:szCs w:val="16"/>
                <w:color w:val="auto"/>
              </w:rPr>
            </w:pPr>
          </w:p>
        </w:tc>
        <w:tc>
          <w:tcPr>
            <w:tcW w:w="55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Great Gray CIT 2030 Target Date Trust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147,220,776</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64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Great Gray Trust Company</w:t>
            </w:r>
          </w:p>
        </w:tc>
        <w:tc>
          <w:tcPr>
            <w:tcW w:w="100" w:type="dxa"/>
            <w:vAlign w:val="bottom"/>
            <w:shd w:val="clear" w:color="auto" w:fill="CFF0FC"/>
          </w:tcPr>
          <w:p>
            <w:pPr>
              <w:spacing w:after="0"/>
              <w:rPr>
                <w:sz w:val="16"/>
                <w:szCs w:val="16"/>
                <w:color w:val="auto"/>
              </w:rPr>
            </w:pPr>
          </w:p>
        </w:tc>
        <w:tc>
          <w:tcPr>
            <w:tcW w:w="552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Great Gray CIT 2035 Target Date Trust</w:t>
            </w: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86,372,765</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6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Great Gray Trust Company</w:t>
            </w:r>
          </w:p>
        </w:tc>
        <w:tc>
          <w:tcPr>
            <w:tcW w:w="100" w:type="dxa"/>
            <w:vAlign w:val="bottom"/>
          </w:tcPr>
          <w:p>
            <w:pPr>
              <w:spacing w:after="0"/>
              <w:rPr>
                <w:sz w:val="16"/>
                <w:szCs w:val="16"/>
                <w:color w:val="auto"/>
              </w:rPr>
            </w:pPr>
          </w:p>
        </w:tc>
        <w:tc>
          <w:tcPr>
            <w:tcW w:w="55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Great Gray CIT 2040 Target Date Trust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169,455,728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64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Great Gray Trust Company</w:t>
            </w:r>
          </w:p>
        </w:tc>
        <w:tc>
          <w:tcPr>
            <w:tcW w:w="100" w:type="dxa"/>
            <w:vAlign w:val="bottom"/>
            <w:shd w:val="clear" w:color="auto" w:fill="CFF0FC"/>
          </w:tcPr>
          <w:p>
            <w:pPr>
              <w:spacing w:after="0"/>
              <w:rPr>
                <w:sz w:val="16"/>
                <w:szCs w:val="16"/>
                <w:color w:val="auto"/>
              </w:rPr>
            </w:pPr>
          </w:p>
        </w:tc>
        <w:tc>
          <w:tcPr>
            <w:tcW w:w="552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Great Gray CIT 2045 Target Date Trust</w:t>
            </w: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91,103,692</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6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Great Gray Trust Company</w:t>
            </w:r>
          </w:p>
        </w:tc>
        <w:tc>
          <w:tcPr>
            <w:tcW w:w="100" w:type="dxa"/>
            <w:vAlign w:val="bottom"/>
          </w:tcPr>
          <w:p>
            <w:pPr>
              <w:spacing w:after="0"/>
              <w:rPr>
                <w:sz w:val="16"/>
                <w:szCs w:val="16"/>
                <w:color w:val="auto"/>
              </w:rPr>
            </w:pPr>
          </w:p>
        </w:tc>
        <w:tc>
          <w:tcPr>
            <w:tcW w:w="55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Great Gray CIT 2050 Target Date Trust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156,716,757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64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Great Gray Trust Company</w:t>
            </w:r>
          </w:p>
        </w:tc>
        <w:tc>
          <w:tcPr>
            <w:tcW w:w="100" w:type="dxa"/>
            <w:vAlign w:val="bottom"/>
            <w:shd w:val="clear" w:color="auto" w:fill="CFF0FC"/>
          </w:tcPr>
          <w:p>
            <w:pPr>
              <w:spacing w:after="0"/>
              <w:rPr>
                <w:sz w:val="16"/>
                <w:szCs w:val="16"/>
                <w:color w:val="auto"/>
              </w:rPr>
            </w:pPr>
          </w:p>
        </w:tc>
        <w:tc>
          <w:tcPr>
            <w:tcW w:w="552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Great Gray CIT 2055 Target Date Trust</w:t>
            </w: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72,528,752</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6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Great Gray Trust Company</w:t>
            </w:r>
          </w:p>
        </w:tc>
        <w:tc>
          <w:tcPr>
            <w:tcW w:w="100" w:type="dxa"/>
            <w:vAlign w:val="bottom"/>
          </w:tcPr>
          <w:p>
            <w:pPr>
              <w:spacing w:after="0"/>
              <w:rPr>
                <w:sz w:val="16"/>
                <w:szCs w:val="16"/>
                <w:color w:val="auto"/>
              </w:rPr>
            </w:pPr>
          </w:p>
        </w:tc>
        <w:tc>
          <w:tcPr>
            <w:tcW w:w="55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Great Gray CIT 2060 Target Date Trust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33,228,801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64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Great Gray Trust Company</w:t>
            </w:r>
          </w:p>
        </w:tc>
        <w:tc>
          <w:tcPr>
            <w:tcW w:w="100" w:type="dxa"/>
            <w:vAlign w:val="bottom"/>
            <w:shd w:val="clear" w:color="auto" w:fill="CFF0FC"/>
          </w:tcPr>
          <w:p>
            <w:pPr>
              <w:spacing w:after="0"/>
              <w:rPr>
                <w:sz w:val="16"/>
                <w:szCs w:val="16"/>
                <w:color w:val="auto"/>
              </w:rPr>
            </w:pPr>
          </w:p>
        </w:tc>
        <w:tc>
          <w:tcPr>
            <w:tcW w:w="552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Great Gray CIT 2065 Target Date Trust</w:t>
            </w: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15,017,348</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6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Great Gray Trust Company</w:t>
            </w:r>
          </w:p>
        </w:tc>
        <w:tc>
          <w:tcPr>
            <w:tcW w:w="100" w:type="dxa"/>
            <w:vAlign w:val="bottom"/>
          </w:tcPr>
          <w:p>
            <w:pPr>
              <w:spacing w:after="0"/>
              <w:rPr>
                <w:sz w:val="16"/>
                <w:szCs w:val="16"/>
                <w:color w:val="auto"/>
              </w:rPr>
            </w:pPr>
          </w:p>
        </w:tc>
        <w:tc>
          <w:tcPr>
            <w:tcW w:w="55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Great Gray CIT 2070 Target Date Trust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332,678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64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Geode Capital Management</w:t>
            </w:r>
          </w:p>
        </w:tc>
        <w:tc>
          <w:tcPr>
            <w:tcW w:w="100" w:type="dxa"/>
            <w:vAlign w:val="bottom"/>
            <w:shd w:val="clear" w:color="auto" w:fill="CFF0FC"/>
          </w:tcPr>
          <w:p>
            <w:pPr>
              <w:spacing w:after="0"/>
              <w:rPr>
                <w:sz w:val="16"/>
                <w:szCs w:val="16"/>
                <w:color w:val="auto"/>
              </w:rPr>
            </w:pPr>
          </w:p>
        </w:tc>
        <w:tc>
          <w:tcPr>
            <w:tcW w:w="552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GEODE Capital Management - Spartan Mid Cap</w:t>
            </w: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82,115,130</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6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Geode Capital Management</w:t>
            </w:r>
          </w:p>
        </w:tc>
        <w:tc>
          <w:tcPr>
            <w:tcW w:w="100" w:type="dxa"/>
            <w:vAlign w:val="bottom"/>
          </w:tcPr>
          <w:p>
            <w:pPr>
              <w:spacing w:after="0"/>
              <w:rPr>
                <w:sz w:val="16"/>
                <w:szCs w:val="16"/>
                <w:color w:val="auto"/>
              </w:rPr>
            </w:pPr>
          </w:p>
        </w:tc>
        <w:tc>
          <w:tcPr>
            <w:tcW w:w="55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GEODE Capital Management - Spartan Small Cap</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6,436,272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64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Geode Capital Management</w:t>
            </w:r>
          </w:p>
        </w:tc>
        <w:tc>
          <w:tcPr>
            <w:tcW w:w="100" w:type="dxa"/>
            <w:vAlign w:val="bottom"/>
            <w:shd w:val="clear" w:color="auto" w:fill="CFF0FC"/>
          </w:tcPr>
          <w:p>
            <w:pPr>
              <w:spacing w:after="0"/>
              <w:rPr>
                <w:sz w:val="16"/>
                <w:szCs w:val="16"/>
                <w:color w:val="auto"/>
              </w:rPr>
            </w:pPr>
          </w:p>
        </w:tc>
        <w:tc>
          <w:tcPr>
            <w:tcW w:w="552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GEODE Capital Management - Spartan Total Intl</w:t>
            </w: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17,908,339</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6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JP Morgan</w:t>
            </w:r>
          </w:p>
        </w:tc>
        <w:tc>
          <w:tcPr>
            <w:tcW w:w="100" w:type="dxa"/>
            <w:vAlign w:val="bottom"/>
          </w:tcPr>
          <w:p>
            <w:pPr>
              <w:spacing w:after="0"/>
              <w:rPr>
                <w:sz w:val="16"/>
                <w:szCs w:val="16"/>
                <w:color w:val="auto"/>
              </w:rPr>
            </w:pPr>
          </w:p>
        </w:tc>
        <w:tc>
          <w:tcPr>
            <w:tcW w:w="55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JPMCB Large Cap Growth</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183,171,154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64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Various</w:t>
            </w:r>
          </w:p>
        </w:tc>
        <w:tc>
          <w:tcPr>
            <w:tcW w:w="100" w:type="dxa"/>
            <w:vAlign w:val="bottom"/>
            <w:shd w:val="clear" w:color="auto" w:fill="CFF0FC"/>
          </w:tcPr>
          <w:p>
            <w:pPr>
              <w:spacing w:after="0"/>
              <w:rPr>
                <w:sz w:val="16"/>
                <w:szCs w:val="16"/>
                <w:color w:val="auto"/>
              </w:rPr>
            </w:pPr>
          </w:p>
        </w:tc>
        <w:tc>
          <w:tcPr>
            <w:tcW w:w="552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Self-directed brokerage accounts</w:t>
            </w: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40,157,550</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2640" w:type="dxa"/>
            <w:vAlign w:val="bottom"/>
          </w:tcPr>
          <w:p>
            <w:pPr>
              <w:spacing w:after="0" w:line="157" w:lineRule="exact"/>
              <w:rPr>
                <w:sz w:val="20"/>
                <w:szCs w:val="20"/>
                <w:color w:val="auto"/>
              </w:rPr>
            </w:pPr>
            <w:r>
              <w:rPr>
                <w:rFonts w:ascii="Times New Roman" w:cs="Times New Roman" w:eastAsia="Times New Roman" w:hAnsi="Times New Roman"/>
                <w:sz w:val="18"/>
                <w:szCs w:val="18"/>
                <w:color w:val="auto"/>
              </w:rPr>
              <w:t>*Notes Receivable from</w:t>
            </w:r>
          </w:p>
        </w:tc>
        <w:tc>
          <w:tcPr>
            <w:tcW w:w="100" w:type="dxa"/>
            <w:vAlign w:val="bottom"/>
          </w:tcPr>
          <w:p>
            <w:pPr>
              <w:spacing w:after="0"/>
              <w:rPr>
                <w:sz w:val="13"/>
                <w:szCs w:val="13"/>
                <w:color w:val="auto"/>
              </w:rPr>
            </w:pPr>
          </w:p>
        </w:tc>
        <w:tc>
          <w:tcPr>
            <w:tcW w:w="5520" w:type="dxa"/>
            <w:vAlign w:val="bottom"/>
          </w:tcPr>
          <w:p>
            <w:pPr>
              <w:spacing w:after="0" w:line="157" w:lineRule="exact"/>
              <w:rPr>
                <w:sz w:val="20"/>
                <w:szCs w:val="20"/>
                <w:color w:val="auto"/>
              </w:rPr>
            </w:pPr>
            <w:r>
              <w:rPr>
                <w:rFonts w:ascii="Times New Roman" w:cs="Times New Roman" w:eastAsia="Times New Roman" w:hAnsi="Times New Roman"/>
                <w:sz w:val="18"/>
                <w:szCs w:val="18"/>
                <w:color w:val="auto"/>
              </w:rPr>
              <w:t>Various maturities and interest rates ranging from 3.25% to 9.50%</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jc w:val="right"/>
              <w:spacing w:after="0" w:line="157" w:lineRule="exact"/>
              <w:rPr>
                <w:sz w:val="20"/>
                <w:szCs w:val="20"/>
                <w:color w:val="auto"/>
              </w:rPr>
            </w:pPr>
            <w:r>
              <w:rPr>
                <w:rFonts w:ascii="Times New Roman" w:cs="Times New Roman" w:eastAsia="Times New Roman" w:hAnsi="Times New Roman"/>
                <w:sz w:val="18"/>
                <w:szCs w:val="18"/>
                <w:color w:val="auto"/>
              </w:rPr>
              <w:t>34,688,598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7"/>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Participants</w:t>
            </w:r>
          </w:p>
        </w:tc>
        <w:tc>
          <w:tcPr>
            <w:tcW w:w="100" w:type="dxa"/>
            <w:vAlign w:val="bottom"/>
          </w:tcPr>
          <w:p>
            <w:pPr>
              <w:spacing w:after="0"/>
              <w:rPr>
                <w:sz w:val="18"/>
                <w:szCs w:val="18"/>
                <w:color w:val="auto"/>
              </w:rPr>
            </w:pPr>
          </w:p>
        </w:tc>
        <w:tc>
          <w:tcPr>
            <w:tcW w:w="5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6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55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1,850,213,334</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6114415</wp:posOffset>
            </wp:positionH>
            <wp:positionV relativeFrom="paragraph">
              <wp:posOffset>-24765</wp:posOffset>
            </wp:positionV>
            <wp:extent cx="6032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6114415</wp:posOffset>
            </wp:positionH>
            <wp:positionV relativeFrom="paragraph">
              <wp:posOffset>-7620</wp:posOffset>
            </wp:positionV>
            <wp:extent cx="6032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 Party-in-interest.</w:t>
      </w:r>
    </w:p>
    <w:p>
      <w:pPr>
        <w:spacing w:after="0" w:line="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476250</wp:posOffset>
            </wp:positionV>
            <wp:extent cx="703770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968" w:right="109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14" w:lineRule="exact"/>
        <w:rPr>
          <w:sz w:val="20"/>
          <w:szCs w:val="20"/>
          <w:color w:val="auto"/>
        </w:rPr>
      </w:pPr>
    </w:p>
    <w:p>
      <w:pPr>
        <w:ind w:left="660" w:right="660"/>
        <w:spacing w:after="0" w:line="268" w:lineRule="auto"/>
        <w:rPr>
          <w:sz w:val="20"/>
          <w:szCs w:val="20"/>
          <w:color w:val="auto"/>
        </w:rPr>
      </w:pPr>
      <w:r>
        <w:rPr>
          <w:rFonts w:ascii="Times New Roman" w:cs="Times New Roman" w:eastAsia="Times New Roman" w:hAnsi="Times New Roman"/>
          <w:sz w:val="18"/>
          <w:szCs w:val="18"/>
          <w:i w:val="1"/>
          <w:iCs w:val="1"/>
          <w:color w:val="auto"/>
        </w:rPr>
        <w:t xml:space="preserve">The Plan. </w:t>
      </w:r>
      <w:r>
        <w:rPr>
          <w:rFonts w:ascii="Times New Roman" w:cs="Times New Roman" w:eastAsia="Times New Roman" w:hAnsi="Times New Roman"/>
          <w:sz w:val="18"/>
          <w:szCs w:val="18"/>
          <w:color w:val="auto"/>
        </w:rPr>
        <w:t>Pursuant to the requirements of the Securities Exchange Act of 1934, the trustees (or other persons who administer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employee benefit plan) have duly caused this annual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NOV Inc. 401(k) Plan</w:t>
            </w:r>
          </w:p>
        </w:tc>
      </w:tr>
      <w:tr>
        <w:trPr>
          <w:trHeight w:val="364"/>
        </w:trPr>
        <w:tc>
          <w:tcPr>
            <w:tcW w:w="660" w:type="dxa"/>
            <w:vAlign w:val="bottom"/>
          </w:tcPr>
          <w:p>
            <w:pPr>
              <w:spacing w:after="0"/>
              <w:rPr>
                <w:sz w:val="24"/>
                <w:szCs w:val="24"/>
                <w:color w:val="auto"/>
              </w:rPr>
            </w:pPr>
          </w:p>
        </w:tc>
        <w:tc>
          <w:tcPr>
            <w:tcW w:w="4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22, 2026</w:t>
            </w:r>
          </w:p>
        </w:tc>
        <w:tc>
          <w:tcPr>
            <w:tcW w:w="760" w:type="dxa"/>
            <w:vAlign w:val="bottom"/>
          </w:tcPr>
          <w:p>
            <w:pPr>
              <w:spacing w:after="0"/>
              <w:rPr>
                <w:sz w:val="24"/>
                <w:szCs w:val="24"/>
                <w:color w:val="auto"/>
              </w:rPr>
            </w:pPr>
          </w:p>
        </w:tc>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8"/>
                <w:szCs w:val="18"/>
                <w:i w:val="1"/>
                <w:iCs w:val="1"/>
                <w:color w:val="auto"/>
              </w:rPr>
              <w:t>Bonnie C. Houston</w:t>
            </w:r>
          </w:p>
        </w:tc>
      </w:tr>
      <w:tr>
        <w:trPr>
          <w:trHeight w:val="151"/>
        </w:trPr>
        <w:tc>
          <w:tcPr>
            <w:tcW w:w="660" w:type="dxa"/>
            <w:vAlign w:val="bottom"/>
          </w:tcPr>
          <w:p>
            <w:pPr>
              <w:spacing w:after="0"/>
              <w:rPr>
                <w:sz w:val="13"/>
                <w:szCs w:val="13"/>
                <w:color w:val="auto"/>
              </w:rPr>
            </w:pPr>
          </w:p>
        </w:tc>
        <w:tc>
          <w:tcPr>
            <w:tcW w:w="4100" w:type="dxa"/>
            <w:vAlign w:val="bottom"/>
            <w:tcBorders>
              <w:top w:val="single" w:sz="8" w:color="auto"/>
            </w:tcBorders>
          </w:tcPr>
          <w:p>
            <w:pPr>
              <w:jc w:val="center"/>
              <w:spacing w:after="0" w:line="150" w:lineRule="exact"/>
              <w:rPr>
                <w:sz w:val="20"/>
                <w:szCs w:val="20"/>
                <w:color w:val="auto"/>
              </w:rPr>
            </w:pPr>
            <w:r>
              <w:rPr>
                <w:rFonts w:ascii="Times New Roman" w:cs="Times New Roman" w:eastAsia="Times New Roman" w:hAnsi="Times New Roman"/>
                <w:sz w:val="17"/>
                <w:szCs w:val="17"/>
                <w:color w:val="auto"/>
              </w:rPr>
              <w:t>Date</w:t>
            </w:r>
          </w:p>
        </w:tc>
        <w:tc>
          <w:tcPr>
            <w:tcW w:w="760" w:type="dxa"/>
            <w:vAlign w:val="bottom"/>
          </w:tcPr>
          <w:p>
            <w:pPr>
              <w:spacing w:after="0"/>
              <w:rPr>
                <w:sz w:val="13"/>
                <w:szCs w:val="13"/>
                <w:color w:val="auto"/>
              </w:rPr>
            </w:pPr>
          </w:p>
        </w:tc>
        <w:tc>
          <w:tcPr>
            <w:tcW w:w="4860" w:type="dxa"/>
            <w:vAlign w:val="bottom"/>
            <w:tcBorders>
              <w:top w:val="single" w:sz="8" w:color="auto"/>
            </w:tcBorders>
          </w:tcPr>
          <w:p>
            <w:pPr>
              <w:spacing w:after="0" w:line="150" w:lineRule="exact"/>
              <w:rPr>
                <w:sz w:val="20"/>
                <w:szCs w:val="20"/>
                <w:color w:val="auto"/>
              </w:rPr>
            </w:pPr>
            <w:r>
              <w:rPr>
                <w:rFonts w:ascii="Times New Roman" w:cs="Times New Roman" w:eastAsia="Times New Roman" w:hAnsi="Times New Roman"/>
                <w:sz w:val="17"/>
                <w:szCs w:val="17"/>
                <w:color w:val="auto"/>
              </w:rPr>
              <w:t>Bonnie C. Houston</w:t>
            </w:r>
          </w:p>
        </w:tc>
        <w:tc>
          <w:tcPr>
            <w:tcW w:w="660" w:type="dxa"/>
            <w:vAlign w:val="bottom"/>
          </w:tcPr>
          <w:p>
            <w:pPr>
              <w:spacing w:after="0"/>
              <w:rPr>
                <w:sz w:val="13"/>
                <w:szCs w:val="13"/>
                <w:color w:val="auto"/>
              </w:rPr>
            </w:pPr>
          </w:p>
        </w:tc>
      </w:tr>
      <w:tr>
        <w:trPr>
          <w:trHeight w:val="234"/>
        </w:trPr>
        <w:tc>
          <w:tcPr>
            <w:tcW w:w="66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Member of the NOV Inc. Benefits Plan Administrative Committee</w:t>
            </w:r>
          </w:p>
        </w:tc>
      </w:tr>
      <w:tr>
        <w:trPr>
          <w:trHeight w:val="1154"/>
        </w:trPr>
        <w:tc>
          <w:tcPr>
            <w:tcW w:w="660" w:type="dxa"/>
            <w:vAlign w:val="bottom"/>
            <w:tcBorders>
              <w:bottom w:val="single" w:sz="8" w:color="9A9A9A"/>
            </w:tcBorders>
          </w:tcPr>
          <w:p>
            <w:pPr>
              <w:spacing w:after="0"/>
              <w:rPr>
                <w:sz w:val="24"/>
                <w:szCs w:val="24"/>
                <w:color w:val="auto"/>
              </w:rPr>
            </w:pPr>
          </w:p>
        </w:tc>
        <w:tc>
          <w:tcPr>
            <w:tcW w:w="410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486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968" w:right="439" w:bottom="1440" w:gutter="0" w:footer="0" w:header="0"/>
        </w:sectPr>
      </w:pPr>
    </w:p>
    <w:bookmarkStart w:id="15" w:name="page16"/>
    <w:bookmarkEnd w:id="15"/>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6"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u w:val="single" w:color="auto"/>
          <w:color w:val="auto"/>
        </w:rPr>
        <w:t>Number</w:t>
      </w:r>
      <w:r>
        <w:rPr>
          <w:sz w:val="20"/>
          <w:szCs w:val="20"/>
          <w:color w:val="auto"/>
        </w:rPr>
        <w:tab/>
      </w:r>
      <w:r>
        <w:rPr>
          <w:rFonts w:ascii="Times New Roman" w:cs="Times New Roman" w:eastAsia="Times New Roman" w:hAnsi="Times New Roman"/>
          <w:sz w:val="18"/>
          <w:szCs w:val="18"/>
          <w:b w:val="1"/>
          <w:bCs w:val="1"/>
          <w:u w:val="single" w:color="auto"/>
          <w:color w:val="auto"/>
        </w:rPr>
        <w:t>Description</w:t>
      </w:r>
    </w:p>
    <w:p>
      <w:pPr>
        <w:spacing w:after="0" w:line="15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color w:val="auto"/>
        </w:rPr>
        <w:t>23.1</w:t>
      </w:r>
      <w:r>
        <w:rPr>
          <w:sz w:val="20"/>
          <w:szCs w:val="20"/>
          <w:color w:val="auto"/>
        </w:rPr>
        <w:tab/>
      </w:r>
      <w:r>
        <w:rPr>
          <w:rFonts w:ascii="Times New Roman" w:cs="Times New Roman" w:eastAsia="Times New Roman" w:hAnsi="Times New Roman"/>
          <w:sz w:val="17"/>
          <w:szCs w:val="17"/>
          <w:u w:val="single" w:color="auto"/>
          <w:color w:val="0000FF"/>
        </w:rPr>
        <w:t>Consent of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741680</wp:posOffset>
            </wp:positionV>
            <wp:extent cx="703770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037705" cy="42545"/>
                    </a:xfrm>
                    <a:prstGeom prst="rect">
                      <a:avLst/>
                    </a:prstGeom>
                    <a:noFill/>
                  </pic:spPr>
                </pic:pic>
              </a:graphicData>
            </a:graphic>
          </wp:anchor>
        </w:drawing>
        <w:drawing>
          <wp:anchor simplePos="0" relativeHeight="251657728" behindDoc="1" locked="0" layoutInCell="0" allowOverlap="1">
            <wp:simplePos x="0" y="0"/>
            <wp:positionH relativeFrom="column">
              <wp:posOffset>619760</wp:posOffset>
            </wp:positionH>
            <wp:positionV relativeFrom="paragraph">
              <wp:posOffset>-7620</wp:posOffset>
            </wp:positionV>
            <wp:extent cx="274129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741295" cy="8255"/>
                    </a:xfrm>
                    <a:prstGeom prst="rect">
                      <a:avLst/>
                    </a:prstGeom>
                    <a:noFill/>
                  </pic:spPr>
                </pic:pic>
              </a:graphicData>
            </a:graphic>
          </wp:anchor>
        </w:drawing>
      </w:r>
    </w:p>
    <w:p>
      <w:pPr>
        <w:sectPr>
          <w:pgSz w:w="11900" w:h="16838" w:orient="portrait"/>
          <w:cols w:equalWidth="0" w:num="1">
            <w:col w:w="9379"/>
          </w:cols>
          <w:pgMar w:left="1080" w:top="968" w:right="1440" w:bottom="1440" w:gutter="0" w:footer="0" w:header="0"/>
        </w:sectPr>
      </w:pPr>
    </w:p>
    <w:bookmarkStart w:id="16" w:name="page17"/>
    <w:bookmarkEnd w:id="16"/>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175"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We consent to the incorporation by reference in Registration Statement No. 333-46459 on Form S-8 of our report dated June 22, 2026, appearing in this Annual Report on Form 11-K of the NOV Inc. 401(k) Plan for the year ended December 31, 2025.</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Weaver and Tidwell, L.L.P.</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WEAVER AND TIDWELL, L.L.P.</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Houston, Texas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22,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454660</wp:posOffset>
            </wp:positionV>
            <wp:extent cx="703770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765" w:right="1099" w:bottom="1440" w:gutter="0" w:footer="0" w:header="0"/>
        </w:sectPr>
      </w:pPr>
    </w:p>
    <w:bookmarkStart w:id="17" w:name="page18"/>
    <w:bookmarkEnd w:id="1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1."/>
      <w:numFmt w:val="upperLetter"/>
      <w:start w:val="1"/>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decimal"/>
      <w:start w:val="2"/>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2026-06-22T16:40:03Z</dcterms:created>
  <dcterms:modified xsi:type="dcterms:W3CDTF">2026-06-22T16:40:03Z</dcterms:modified>
</cp:coreProperties>
</file>