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64135</wp:posOffset>
            </wp:positionV>
            <wp:extent cx="14300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87630</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19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31" w:lineRule="exact"/>
        <w:rPr>
          <w:sz w:val="24"/>
          <w:szCs w:val="24"/>
          <w:color w:val="auto"/>
        </w:rPr>
      </w:pPr>
    </w:p>
    <w:p>
      <w:pPr>
        <w:ind w:left="620" w:right="140" w:hanging="599"/>
        <w:spacing w:after="0" w:line="244" w:lineRule="auto"/>
        <w:tabs>
          <w:tab w:leader="none" w:pos="62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5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94" w:lineRule="exact"/>
        <w:rPr>
          <w:sz w:val="24"/>
          <w:szCs w:val="24"/>
          <w:color w:val="auto"/>
        </w:rPr>
      </w:pPr>
    </w:p>
    <w:p>
      <w:pPr>
        <w:ind w:left="620" w:right="120" w:hanging="599"/>
        <w:spacing w:after="0" w:line="261" w:lineRule="auto"/>
        <w:tabs>
          <w:tab w:leader="none" w:pos="620" w:val="left"/>
        </w:tabs>
        <w:numPr>
          <w:ilvl w:val="0"/>
          <w:numId w:val="2"/>
        </w:numPr>
        <w:rPr>
          <w:rFonts w:ascii="MS PGothic" w:cs="MS PGothic" w:eastAsia="MS PGothic" w:hAnsi="MS PGothic"/>
          <w:sz w:val="22"/>
          <w:szCs w:val="22"/>
          <w:color w:val="auto"/>
          <w:highlight w:val="black"/>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w:t>
      </w:r>
      <w:r>
        <w:rPr>
          <w:rFonts w:ascii="Times New Roman" w:cs="Times New Roman" w:eastAsia="Times New Roman" w:hAnsi="Times New Roman"/>
          <w:sz w:val="18"/>
          <w:szCs w:val="18"/>
          <w:b w:val="1"/>
          <w:bCs w:val="1"/>
          <w:u w:val="single" w:color="auto"/>
          <w:color w:val="auto"/>
        </w:rPr>
        <w:t>mmission File Number 1-123</w:t>
      </w:r>
      <w:r>
        <w:rPr>
          <w:rFonts w:ascii="Times New Roman" w:cs="Times New Roman" w:eastAsia="Times New Roman" w:hAnsi="Times New Roman"/>
          <w:sz w:val="18"/>
          <w:szCs w:val="18"/>
          <w:b w:val="1"/>
          <w:bCs w:val="1"/>
          <w:color w:val="auto"/>
        </w:rPr>
        <w:t>17</w:t>
      </w:r>
    </w:p>
    <w:p>
      <w:pPr>
        <w:spacing w:after="0" w:line="16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NOV INC.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w:t>
      </w:r>
      <w:r>
        <w:rPr>
          <w:rFonts w:ascii="Times New Roman" w:cs="Times New Roman" w:eastAsia="Times New Roman" w:hAnsi="Times New Roman"/>
          <w:sz w:val="18"/>
          <w:szCs w:val="18"/>
          <w:b w:val="1"/>
          <w:bCs w:val="1"/>
          <w:u w:val="single" w:color="auto"/>
          <w:color w:val="auto"/>
        </w:rPr>
        <w:t>e of registrant as specified in</w:t>
      </w:r>
      <w:r>
        <w:rPr>
          <w:rFonts w:ascii="Times New Roman" w:cs="Times New Roman" w:eastAsia="Times New Roman" w:hAnsi="Times New Roman"/>
          <w:sz w:val="18"/>
          <w:szCs w:val="18"/>
          <w:b w:val="1"/>
          <w:bCs w:val="1"/>
          <w:color w:val="auto"/>
        </w:rPr>
        <w:t xml:space="preserve"> its charter)</w:t>
      </w:r>
    </w:p>
    <w:p>
      <w:pPr>
        <w:spacing w:after="0" w:line="187" w:lineRule="exact"/>
        <w:rPr>
          <w:sz w:val="24"/>
          <w:szCs w:val="24"/>
          <w:color w:val="auto"/>
        </w:rPr>
      </w:pPr>
    </w:p>
    <w:tbl>
      <w:tblPr>
        <w:tblLayout w:type="fixed"/>
        <w:tblInd w:w="10" w:type="dxa"/>
        <w:tblCellMar>
          <w:top w:w="0" w:type="dxa"/>
          <w:left w:w="0" w:type="dxa"/>
          <w:bottom w:w="0" w:type="dxa"/>
          <w:right w:w="0" w:type="dxa"/>
        </w:tblCellMar>
      </w:tblPr>
      <w:tr>
        <w:trPr>
          <w:trHeight w:val="238"/>
        </w:trPr>
        <w:tc>
          <w:tcPr>
            <w:tcW w:w="3360" w:type="dxa"/>
            <w:vAlign w:val="bottom"/>
          </w:tcPr>
          <w:p>
            <w:pPr>
              <w:jc w:val="center"/>
              <w:ind w:left="212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440" w:type="dxa"/>
            <w:vAlign w:val="bottom"/>
          </w:tcPr>
          <w:p>
            <w:pPr>
              <w:jc w:val="center"/>
              <w:ind w:right="2025"/>
              <w:spacing w:after="0"/>
              <w:rPr>
                <w:sz w:val="20"/>
                <w:szCs w:val="20"/>
                <w:color w:val="auto"/>
              </w:rPr>
            </w:pPr>
            <w:r>
              <w:rPr>
                <w:rFonts w:ascii="Times New Roman" w:cs="Times New Roman" w:eastAsia="Times New Roman" w:hAnsi="Times New Roman"/>
                <w:sz w:val="18"/>
                <w:szCs w:val="18"/>
                <w:b w:val="1"/>
                <w:bCs w:val="1"/>
                <w:color w:val="auto"/>
                <w:w w:val="98"/>
              </w:rPr>
              <w:t>76-0475815</w:t>
            </w:r>
          </w:p>
        </w:tc>
      </w:tr>
      <w:tr>
        <w:trPr>
          <w:trHeight w:val="151"/>
        </w:trPr>
        <w:tc>
          <w:tcPr>
            <w:tcW w:w="7800" w:type="dxa"/>
            <w:vAlign w:val="bottom"/>
            <w:gridSpan w:val="6"/>
          </w:tcPr>
          <w:p>
            <w:pPr>
              <w:jc w:val="center"/>
              <w:ind w:right="2240"/>
              <w:spacing w:after="0" w:line="151"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3440" w:type="dxa"/>
            <w:vAlign w:val="bottom"/>
          </w:tcPr>
          <w:p>
            <w:pPr>
              <w:jc w:val="center"/>
              <w:ind w:right="2025"/>
              <w:spacing w:after="0" w:line="151"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8"/>
        </w:trPr>
        <w:tc>
          <w:tcPr>
            <w:tcW w:w="7800" w:type="dxa"/>
            <w:vAlign w:val="bottom"/>
            <w:gridSpan w:val="6"/>
          </w:tcPr>
          <w:p>
            <w:pPr>
              <w:jc w:val="center"/>
              <w:ind w:right="2240"/>
              <w:spacing w:after="0"/>
              <w:rPr>
                <w:sz w:val="20"/>
                <w:szCs w:val="20"/>
                <w:color w:val="auto"/>
              </w:rPr>
            </w:pPr>
            <w:r>
              <w:rPr>
                <w:rFonts w:ascii="Times New Roman" w:cs="Times New Roman" w:eastAsia="Times New Roman" w:hAnsi="Times New Roman"/>
                <w:sz w:val="14"/>
                <w:szCs w:val="14"/>
                <w:b w:val="1"/>
                <w:bCs w:val="1"/>
                <w:color w:val="auto"/>
              </w:rPr>
              <w:t>of incorporation or organization)</w:t>
            </w:r>
          </w:p>
        </w:tc>
        <w:tc>
          <w:tcPr>
            <w:tcW w:w="3440" w:type="dxa"/>
            <w:vAlign w:val="bottom"/>
          </w:tcPr>
          <w:p>
            <w:pPr>
              <w:jc w:val="center"/>
              <w:ind w:right="2025"/>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73"/>
        </w:trPr>
        <w:tc>
          <w:tcPr>
            <w:tcW w:w="33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3300" w:type="dxa"/>
            <w:vAlign w:val="bottom"/>
            <w:gridSpan w:val="3"/>
          </w:tcPr>
          <w:p>
            <w:pPr>
              <w:jc w:val="center"/>
              <w:ind w:right="1040"/>
              <w:spacing w:after="0"/>
              <w:rPr>
                <w:sz w:val="20"/>
                <w:szCs w:val="20"/>
                <w:color w:val="auto"/>
              </w:rPr>
            </w:pPr>
            <w:r>
              <w:rPr>
                <w:rFonts w:ascii="Times New Roman" w:cs="Times New Roman" w:eastAsia="Times New Roman" w:hAnsi="Times New Roman"/>
                <w:sz w:val="18"/>
                <w:szCs w:val="18"/>
                <w:b w:val="1"/>
                <w:bCs w:val="1"/>
                <w:color w:val="auto"/>
                <w:w w:val="98"/>
              </w:rPr>
              <w:t>10353 Richmond Avenue</w:t>
            </w:r>
          </w:p>
        </w:tc>
        <w:tc>
          <w:tcPr>
            <w:tcW w:w="3440" w:type="dxa"/>
            <w:vAlign w:val="bottom"/>
          </w:tcPr>
          <w:p>
            <w:pPr>
              <w:spacing w:after="0"/>
              <w:rPr>
                <w:sz w:val="23"/>
                <w:szCs w:val="23"/>
                <w:color w:val="auto"/>
              </w:rPr>
            </w:pPr>
          </w:p>
        </w:tc>
      </w:tr>
      <w:tr>
        <w:trPr>
          <w:trHeight w:val="216"/>
        </w:trPr>
        <w:tc>
          <w:tcPr>
            <w:tcW w:w="3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3300" w:type="dxa"/>
            <w:vAlign w:val="bottom"/>
            <w:gridSpan w:val="3"/>
          </w:tcPr>
          <w:p>
            <w:pPr>
              <w:jc w:val="center"/>
              <w:ind w:right="1060"/>
              <w:spacing w:after="0"/>
              <w:rPr>
                <w:sz w:val="20"/>
                <w:szCs w:val="20"/>
                <w:color w:val="auto"/>
              </w:rPr>
            </w:pPr>
            <w:r>
              <w:rPr>
                <w:rFonts w:ascii="Times New Roman" w:cs="Times New Roman" w:eastAsia="Times New Roman" w:hAnsi="Times New Roman"/>
                <w:sz w:val="18"/>
                <w:szCs w:val="18"/>
                <w:b w:val="1"/>
                <w:bCs w:val="1"/>
                <w:color w:val="auto"/>
                <w:w w:val="97"/>
              </w:rPr>
              <w:t>Houston, Texas</w:t>
            </w:r>
          </w:p>
        </w:tc>
        <w:tc>
          <w:tcPr>
            <w:tcW w:w="3440" w:type="dxa"/>
            <w:vAlign w:val="bottom"/>
          </w:tcPr>
          <w:p>
            <w:pPr>
              <w:spacing w:after="0"/>
              <w:rPr>
                <w:sz w:val="18"/>
                <w:szCs w:val="18"/>
                <w:color w:val="auto"/>
              </w:rPr>
            </w:pPr>
          </w:p>
        </w:tc>
      </w:tr>
      <w:tr>
        <w:trPr>
          <w:trHeight w:val="216"/>
        </w:trPr>
        <w:tc>
          <w:tcPr>
            <w:tcW w:w="3360" w:type="dxa"/>
            <w:vAlign w:val="bottom"/>
          </w:tcPr>
          <w:p>
            <w:pPr>
              <w:spacing w:after="0"/>
              <w:rPr>
                <w:sz w:val="18"/>
                <w:szCs w:val="18"/>
                <w:color w:val="auto"/>
              </w:rPr>
            </w:pPr>
          </w:p>
        </w:tc>
        <w:tc>
          <w:tcPr>
            <w:tcW w:w="3380" w:type="dxa"/>
            <w:vAlign w:val="bottom"/>
            <w:gridSpan w:val="3"/>
          </w:tcPr>
          <w:p>
            <w:pPr>
              <w:jc w:val="right"/>
              <w:ind w:right="599"/>
              <w:spacing w:after="0"/>
              <w:rPr>
                <w:sz w:val="20"/>
                <w:szCs w:val="20"/>
                <w:color w:val="auto"/>
              </w:rPr>
            </w:pPr>
            <w:r>
              <w:rPr>
                <w:rFonts w:ascii="Times New Roman" w:cs="Times New Roman" w:eastAsia="Times New Roman" w:hAnsi="Times New Roman"/>
                <w:sz w:val="18"/>
                <w:szCs w:val="18"/>
                <w:b w:val="1"/>
                <w:bCs w:val="1"/>
                <w:color w:val="auto"/>
              </w:rPr>
              <w:t>77042-4103</w:t>
            </w:r>
          </w:p>
        </w:tc>
        <w:tc>
          <w:tcPr>
            <w:tcW w:w="7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440" w:type="dxa"/>
            <w:vAlign w:val="bottom"/>
          </w:tcPr>
          <w:p>
            <w:pPr>
              <w:spacing w:after="0"/>
              <w:rPr>
                <w:sz w:val="18"/>
                <w:szCs w:val="18"/>
                <w:color w:val="auto"/>
              </w:rPr>
            </w:pPr>
          </w:p>
        </w:tc>
      </w:tr>
      <w:tr>
        <w:trPr>
          <w:trHeight w:val="238"/>
        </w:trPr>
        <w:tc>
          <w:tcPr>
            <w:tcW w:w="33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4040" w:type="dxa"/>
            <w:vAlign w:val="bottom"/>
            <w:gridSpan w:val="4"/>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w:t>
            </w:r>
          </w:p>
        </w:tc>
        <w:tc>
          <w:tcPr>
            <w:tcW w:w="3440" w:type="dxa"/>
            <w:vAlign w:val="bottom"/>
          </w:tcPr>
          <w:p>
            <w:pPr>
              <w:spacing w:after="0"/>
              <w:rPr>
                <w:sz w:val="20"/>
                <w:szCs w:val="20"/>
                <w:color w:val="auto"/>
              </w:rPr>
            </w:pPr>
          </w:p>
        </w:tc>
      </w:tr>
      <w:tr>
        <w:trPr>
          <w:trHeight w:val="342"/>
        </w:trPr>
        <w:tc>
          <w:tcPr>
            <w:tcW w:w="3360" w:type="dxa"/>
            <w:vAlign w:val="bottom"/>
          </w:tcPr>
          <w:p>
            <w:pPr>
              <w:spacing w:after="0"/>
              <w:rPr>
                <w:sz w:val="24"/>
                <w:szCs w:val="24"/>
                <w:color w:val="auto"/>
              </w:rPr>
            </w:pPr>
          </w:p>
        </w:tc>
        <w:tc>
          <w:tcPr>
            <w:tcW w:w="3380" w:type="dxa"/>
            <w:vAlign w:val="bottom"/>
            <w:gridSpan w:val="3"/>
          </w:tcPr>
          <w:p>
            <w:pPr>
              <w:jc w:val="right"/>
              <w:ind w:right="479"/>
              <w:spacing w:after="0"/>
              <w:rPr>
                <w:sz w:val="20"/>
                <w:szCs w:val="20"/>
                <w:color w:val="auto"/>
              </w:rPr>
            </w:pPr>
            <w:r>
              <w:rPr>
                <w:rFonts w:ascii="Times New Roman" w:cs="Times New Roman" w:eastAsia="Times New Roman" w:hAnsi="Times New Roman"/>
                <w:sz w:val="18"/>
                <w:szCs w:val="18"/>
                <w:b w:val="1"/>
                <w:bCs w:val="1"/>
                <w:color w:val="auto"/>
              </w:rPr>
              <w:t>(346) 223-3000</w:t>
            </w:r>
          </w:p>
        </w:tc>
        <w:tc>
          <w:tcPr>
            <w:tcW w:w="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440" w:type="dxa"/>
            <w:vAlign w:val="bottom"/>
          </w:tcPr>
          <w:p>
            <w:pPr>
              <w:spacing w:after="0"/>
              <w:rPr>
                <w:sz w:val="24"/>
                <w:szCs w:val="24"/>
                <w:color w:val="auto"/>
              </w:rPr>
            </w:pPr>
          </w:p>
        </w:tc>
      </w:tr>
      <w:tr>
        <w:trPr>
          <w:trHeight w:val="238"/>
        </w:trPr>
        <w:tc>
          <w:tcPr>
            <w:tcW w:w="3360" w:type="dxa"/>
            <w:vAlign w:val="bottom"/>
          </w:tcPr>
          <w:p>
            <w:pPr>
              <w:spacing w:after="0"/>
              <w:rPr>
                <w:sz w:val="20"/>
                <w:szCs w:val="20"/>
                <w:color w:val="auto"/>
              </w:rPr>
            </w:pPr>
          </w:p>
        </w:tc>
        <w:tc>
          <w:tcPr>
            <w:tcW w:w="44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3440" w:type="dxa"/>
            <w:vAlign w:val="bottom"/>
          </w:tcPr>
          <w:p>
            <w:pPr>
              <w:spacing w:after="0"/>
              <w:rPr>
                <w:sz w:val="20"/>
                <w:szCs w:val="20"/>
                <w:color w:val="auto"/>
              </w:rPr>
            </w:pPr>
          </w:p>
        </w:tc>
      </w:tr>
      <w:tr>
        <w:trPr>
          <w:trHeight w:val="20"/>
        </w:trPr>
        <w:tc>
          <w:tcPr>
            <w:tcW w:w="3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304"/>
        </w:trPr>
        <w:tc>
          <w:tcPr>
            <w:tcW w:w="3360" w:type="dxa"/>
            <w:vAlign w:val="bottom"/>
          </w:tcPr>
          <w:p>
            <w:pPr>
              <w:spacing w:after="0"/>
              <w:rPr>
                <w:sz w:val="24"/>
                <w:szCs w:val="24"/>
                <w:color w:val="auto"/>
              </w:rPr>
            </w:pPr>
          </w:p>
        </w:tc>
        <w:tc>
          <w:tcPr>
            <w:tcW w:w="4440" w:type="dxa"/>
            <w:vAlign w:val="bottom"/>
            <w:gridSpan w:val="5"/>
          </w:tcPr>
          <w:p>
            <w:pPr>
              <w:jc w:val="center"/>
              <w:ind w:left="1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c>
          <w:tcPr>
            <w:tcW w:w="3440" w:type="dxa"/>
            <w:vAlign w:val="bottom"/>
          </w:tcPr>
          <w:p>
            <w:pPr>
              <w:spacing w:after="0"/>
              <w:rPr>
                <w:sz w:val="24"/>
                <w:szCs w:val="24"/>
                <w:color w:val="auto"/>
              </w:rPr>
            </w:pPr>
          </w:p>
        </w:tc>
      </w:tr>
      <w:tr>
        <w:trPr>
          <w:trHeight w:val="78"/>
        </w:trPr>
        <w:tc>
          <w:tcPr>
            <w:tcW w:w="3360" w:type="dxa"/>
            <w:vAlign w:val="bottom"/>
            <w:tcBorders>
              <w:bottom w:val="single" w:sz="8" w:color="auto"/>
            </w:tcBorders>
          </w:tcPr>
          <w:p>
            <w:pPr>
              <w:spacing w:after="0"/>
              <w:rPr>
                <w:sz w:val="6"/>
                <w:szCs w:val="6"/>
                <w:color w:val="auto"/>
              </w:rPr>
            </w:pPr>
          </w:p>
        </w:tc>
        <w:tc>
          <w:tcPr>
            <w:tcW w:w="400" w:type="dxa"/>
            <w:vAlign w:val="bottom"/>
            <w:tcBorders>
              <w:bottom w:val="single" w:sz="8" w:color="auto"/>
            </w:tcBorders>
          </w:tcPr>
          <w:p>
            <w:pPr>
              <w:spacing w:after="0"/>
              <w:rPr>
                <w:sz w:val="6"/>
                <w:szCs w:val="6"/>
                <w:color w:val="auto"/>
              </w:rPr>
            </w:pPr>
          </w:p>
        </w:tc>
        <w:tc>
          <w:tcPr>
            <w:tcW w:w="740" w:type="dxa"/>
            <w:vAlign w:val="bottom"/>
            <w:tcBorders>
              <w:bottom w:val="single" w:sz="8" w:color="auto"/>
            </w:tcBorders>
          </w:tcPr>
          <w:p>
            <w:pPr>
              <w:spacing w:after="0"/>
              <w:rPr>
                <w:sz w:val="6"/>
                <w:szCs w:val="6"/>
                <w:color w:val="auto"/>
              </w:rPr>
            </w:pPr>
          </w:p>
        </w:tc>
        <w:tc>
          <w:tcPr>
            <w:tcW w:w="3020" w:type="dxa"/>
            <w:vAlign w:val="bottom"/>
            <w:tcBorders>
              <w:bottom w:val="single" w:sz="8" w:color="auto"/>
            </w:tcBorders>
            <w:gridSpan w:val="2"/>
          </w:tcPr>
          <w:p>
            <w:pPr>
              <w:spacing w:after="0"/>
              <w:rPr>
                <w:sz w:val="6"/>
                <w:szCs w:val="6"/>
                <w:color w:val="auto"/>
              </w:rPr>
            </w:pPr>
          </w:p>
        </w:tc>
        <w:tc>
          <w:tcPr>
            <w:tcW w:w="280" w:type="dxa"/>
            <w:vAlign w:val="bottom"/>
            <w:tcBorders>
              <w:bottom w:val="single" w:sz="8" w:color="auto"/>
            </w:tcBorders>
          </w:tcPr>
          <w:p>
            <w:pPr>
              <w:spacing w:after="0"/>
              <w:rPr>
                <w:sz w:val="6"/>
                <w:szCs w:val="6"/>
                <w:color w:val="auto"/>
              </w:rPr>
            </w:pPr>
          </w:p>
        </w:tc>
        <w:tc>
          <w:tcPr>
            <w:tcW w:w="3440" w:type="dxa"/>
            <w:vAlign w:val="bottom"/>
            <w:tcBorders>
              <w:bottom w:val="single" w:sz="8" w:color="auto"/>
            </w:tcBorders>
          </w:tcPr>
          <w:p>
            <w:pPr>
              <w:spacing w:after="0"/>
              <w:rPr>
                <w:sz w:val="6"/>
                <w:szCs w:val="6"/>
                <w:color w:val="auto"/>
              </w:rPr>
            </w:pPr>
          </w:p>
        </w:tc>
      </w:tr>
      <w:tr>
        <w:trPr>
          <w:trHeight w:val="214"/>
        </w:trPr>
        <w:tc>
          <w:tcPr>
            <w:tcW w:w="3360" w:type="dxa"/>
            <w:vAlign w:val="bottom"/>
            <w:tcBorders>
              <w:left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400" w:type="dxa"/>
            <w:vAlign w:val="bottom"/>
            <w:tcBorders>
              <w:right w:val="single" w:sz="8" w:color="auto"/>
            </w:tcBorders>
          </w:tcPr>
          <w:p>
            <w:pPr>
              <w:spacing w:after="0"/>
              <w:rPr>
                <w:sz w:val="18"/>
                <w:szCs w:val="18"/>
                <w:color w:val="auto"/>
              </w:rPr>
            </w:pPr>
          </w:p>
        </w:tc>
        <w:tc>
          <w:tcPr>
            <w:tcW w:w="740" w:type="dxa"/>
            <w:vAlign w:val="bottom"/>
          </w:tcPr>
          <w:p>
            <w:pPr>
              <w:spacing w:after="0"/>
              <w:rPr>
                <w:sz w:val="18"/>
                <w:szCs w:val="18"/>
                <w:color w:val="auto"/>
              </w:rPr>
            </w:pPr>
          </w:p>
        </w:tc>
        <w:tc>
          <w:tcPr>
            <w:tcW w:w="3020" w:type="dxa"/>
            <w:vAlign w:val="bottom"/>
            <w:tcBorders>
              <w:right w:val="single" w:sz="8" w:color="auto"/>
            </w:tcBorders>
            <w:gridSpan w:val="2"/>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280" w:type="dxa"/>
            <w:vAlign w:val="bottom"/>
          </w:tcPr>
          <w:p>
            <w:pPr>
              <w:spacing w:after="0"/>
              <w:rPr>
                <w:sz w:val="18"/>
                <w:szCs w:val="18"/>
                <w:color w:val="auto"/>
              </w:rPr>
            </w:pPr>
          </w:p>
        </w:tc>
        <w:tc>
          <w:tcPr>
            <w:tcW w:w="3440" w:type="dxa"/>
            <w:vAlign w:val="bottom"/>
            <w:tcBorders>
              <w:right w:val="single" w:sz="8" w:color="auto"/>
            </w:tcBorders>
          </w:tcPr>
          <w:p>
            <w:pPr>
              <w:jc w:val="center"/>
              <w:ind w:right="225"/>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49"/>
        </w:trPr>
        <w:tc>
          <w:tcPr>
            <w:tcW w:w="336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3020" w:type="dxa"/>
            <w:vAlign w:val="bottom"/>
            <w:tcBorders>
              <w:bottom w:val="single" w:sz="8" w:color="auto"/>
              <w:right w:val="single" w:sz="8" w:color="auto"/>
            </w:tcBorders>
            <w:gridSpan w:val="2"/>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r>
      <w:tr>
        <w:trPr>
          <w:trHeight w:val="228"/>
        </w:trPr>
        <w:tc>
          <w:tcPr>
            <w:tcW w:w="3360" w:type="dxa"/>
            <w:vAlign w:val="bottom"/>
            <w:tcBorders>
              <w:left w:val="single" w:sz="8" w:color="auto"/>
            </w:tcBorders>
          </w:tcPr>
          <w:p>
            <w:pPr>
              <w:jc w:val="center"/>
              <w:ind w:left="325"/>
              <w:spacing w:after="0"/>
              <w:rPr>
                <w:sz w:val="20"/>
                <w:szCs w:val="20"/>
                <w:color w:val="auto"/>
              </w:rPr>
            </w:pPr>
            <w:r>
              <w:rPr>
                <w:rFonts w:ascii="Times New Roman" w:cs="Times New Roman" w:eastAsia="Times New Roman" w:hAnsi="Times New Roman"/>
                <w:sz w:val="14"/>
                <w:szCs w:val="14"/>
                <w:color w:val="auto"/>
              </w:rPr>
              <w:t>Common Stock, par value $.01 per share</w:t>
            </w:r>
          </w:p>
        </w:tc>
        <w:tc>
          <w:tcPr>
            <w:tcW w:w="400" w:type="dxa"/>
            <w:vAlign w:val="bottom"/>
            <w:tcBorders>
              <w:right w:val="single" w:sz="8" w:color="auto"/>
            </w:tcBorders>
          </w:tcPr>
          <w:p>
            <w:pPr>
              <w:spacing w:after="0"/>
              <w:rPr>
                <w:sz w:val="19"/>
                <w:szCs w:val="19"/>
                <w:color w:val="auto"/>
              </w:rPr>
            </w:pPr>
          </w:p>
        </w:tc>
        <w:tc>
          <w:tcPr>
            <w:tcW w:w="740" w:type="dxa"/>
            <w:vAlign w:val="bottom"/>
          </w:tcPr>
          <w:p>
            <w:pPr>
              <w:spacing w:after="0"/>
              <w:rPr>
                <w:sz w:val="19"/>
                <w:szCs w:val="19"/>
                <w:color w:val="auto"/>
              </w:rPr>
            </w:pPr>
          </w:p>
        </w:tc>
        <w:tc>
          <w:tcPr>
            <w:tcW w:w="3020" w:type="dxa"/>
            <w:vAlign w:val="bottom"/>
            <w:tcBorders>
              <w:right w:val="single" w:sz="8" w:color="auto"/>
            </w:tcBorders>
            <w:gridSpan w:val="2"/>
          </w:tcPr>
          <w:p>
            <w:pPr>
              <w:jc w:val="center"/>
              <w:ind w:right="780"/>
              <w:spacing w:after="0"/>
              <w:rPr>
                <w:sz w:val="20"/>
                <w:szCs w:val="20"/>
                <w:color w:val="auto"/>
              </w:rPr>
            </w:pPr>
            <w:r>
              <w:rPr>
                <w:rFonts w:ascii="Times New Roman" w:cs="Times New Roman" w:eastAsia="Times New Roman" w:hAnsi="Times New Roman"/>
                <w:sz w:val="14"/>
                <w:szCs w:val="14"/>
                <w:color w:val="auto"/>
              </w:rPr>
              <w:t>NOV</w:t>
            </w:r>
          </w:p>
        </w:tc>
        <w:tc>
          <w:tcPr>
            <w:tcW w:w="280" w:type="dxa"/>
            <w:vAlign w:val="bottom"/>
          </w:tcPr>
          <w:p>
            <w:pPr>
              <w:spacing w:after="0"/>
              <w:rPr>
                <w:sz w:val="19"/>
                <w:szCs w:val="19"/>
                <w:color w:val="auto"/>
              </w:rPr>
            </w:pPr>
          </w:p>
        </w:tc>
        <w:tc>
          <w:tcPr>
            <w:tcW w:w="3440" w:type="dxa"/>
            <w:vAlign w:val="bottom"/>
            <w:tcBorders>
              <w:right w:val="single" w:sz="8" w:color="auto"/>
            </w:tcBorders>
          </w:tcPr>
          <w:p>
            <w:pPr>
              <w:jc w:val="center"/>
              <w:ind w:right="245"/>
              <w:spacing w:after="0"/>
              <w:rPr>
                <w:sz w:val="20"/>
                <w:szCs w:val="20"/>
                <w:color w:val="auto"/>
              </w:rPr>
            </w:pPr>
            <w:r>
              <w:rPr>
                <w:rFonts w:ascii="Times New Roman" w:cs="Times New Roman" w:eastAsia="Times New Roman" w:hAnsi="Times New Roman"/>
                <w:sz w:val="14"/>
                <w:szCs w:val="14"/>
                <w:color w:val="auto"/>
              </w:rPr>
              <w:t>New York Stock Exchange</w:t>
            </w:r>
          </w:p>
        </w:tc>
      </w:tr>
      <w:tr>
        <w:trPr>
          <w:trHeight w:val="52"/>
        </w:trPr>
        <w:tc>
          <w:tcPr>
            <w:tcW w:w="3360" w:type="dxa"/>
            <w:vAlign w:val="bottom"/>
            <w:tcBorders>
              <w:left w:val="single" w:sz="8" w:color="auto"/>
              <w:bottom w:val="single" w:sz="8" w:color="auto"/>
            </w:tcBorders>
          </w:tcPr>
          <w:p>
            <w:pPr>
              <w:spacing w:after="0"/>
              <w:rPr>
                <w:sz w:val="4"/>
                <w:szCs w:val="4"/>
                <w:color w:val="auto"/>
              </w:rPr>
            </w:pPr>
          </w:p>
        </w:tc>
        <w:tc>
          <w:tcPr>
            <w:tcW w:w="400" w:type="dxa"/>
            <w:vAlign w:val="bottom"/>
            <w:tcBorders>
              <w:bottom w:val="single" w:sz="8" w:color="auto"/>
              <w:right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2240" w:type="dxa"/>
            <w:vAlign w:val="bottom"/>
            <w:tcBorders>
              <w:bottom w:val="single" w:sz="8" w:color="auto"/>
            </w:tcBorders>
          </w:tcPr>
          <w:p>
            <w:pPr>
              <w:spacing w:after="0"/>
              <w:rPr>
                <w:sz w:val="4"/>
                <w:szCs w:val="4"/>
                <w:color w:val="auto"/>
              </w:rPr>
            </w:pPr>
          </w:p>
        </w:tc>
        <w:tc>
          <w:tcPr>
            <w:tcW w:w="78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3440" w:type="dxa"/>
            <w:vAlign w:val="bottom"/>
            <w:tcBorders>
              <w:bottom w:val="single" w:sz="8" w:color="auto"/>
              <w:right w:val="single" w:sz="8" w:color="auto"/>
            </w:tcBorders>
          </w:tcPr>
          <w:p>
            <w:pPr>
              <w:spacing w:after="0"/>
              <w:rPr>
                <w:sz w:val="4"/>
                <w:szCs w:val="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3155950</wp:posOffset>
            </wp:positionH>
            <wp:positionV relativeFrom="paragraph">
              <wp:posOffset>-1951355</wp:posOffset>
            </wp:positionV>
            <wp:extent cx="838835" cy="3079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38835" cy="307975"/>
                    </a:xfrm>
                    <a:prstGeom prst="rect">
                      <a:avLst/>
                    </a:prstGeom>
                    <a:noFill/>
                  </pic:spPr>
                </pic:pic>
              </a:graphicData>
            </a:graphic>
          </wp:anchor>
        </w:drawing>
      </w:r>
    </w:p>
    <w:p>
      <w:pPr>
        <w:spacing w:after="0" w:line="43"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35" w:lineRule="exact"/>
        <w:rPr>
          <w:sz w:val="24"/>
          <w:szCs w:val="24"/>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252" w:right="339" w:bottom="1440" w:gutter="0" w:footer="0" w:header="0"/>
        </w:sectPr>
      </w:pPr>
    </w:p>
    <w:p>
      <w:pPr>
        <w:spacing w:after="0" w:line="79" w:lineRule="exact"/>
        <w:rPr>
          <w:sz w:val="24"/>
          <w:szCs w:val="24"/>
          <w:color w:val="auto"/>
        </w:rPr>
      </w:pPr>
    </w:p>
    <w:p>
      <w:pPr>
        <w:ind w:left="20"/>
        <w:spacing w:after="0" w:line="334" w:lineRule="auto"/>
        <w:rPr>
          <w:sz w:val="20"/>
          <w:szCs w:val="20"/>
          <w:color w:val="auto"/>
        </w:rPr>
      </w:pPr>
      <w:r>
        <w:rPr>
          <w:rFonts w:ascii="Times New Roman" w:cs="Times New Roman" w:eastAsia="Times New Roman" w:hAnsi="Times New Roman"/>
          <w:sz w:val="14"/>
          <w:szCs w:val="14"/>
          <w:color w:val="auto"/>
        </w:rPr>
        <w:t>Large accelerated filer Smaller reporting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41"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121"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59"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4" w:lineRule="exact"/>
        <w:rPr>
          <w:sz w:val="24"/>
          <w:szCs w:val="24"/>
          <w:color w:val="auto"/>
        </w:rPr>
      </w:pPr>
    </w:p>
    <w:p>
      <w:pPr>
        <w:jc w:val="center"/>
        <w:ind w:right="340"/>
        <w:spacing w:after="0" w:line="141" w:lineRule="exact"/>
        <w:rPr>
          <w:sz w:val="20"/>
          <w:szCs w:val="20"/>
          <w:color w:val="auto"/>
        </w:rPr>
      </w:pPr>
      <w:r>
        <w:rPr>
          <w:rFonts w:ascii="MS PGothic" w:cs="MS PGothic" w:eastAsia="MS PGothic" w:hAnsi="MS PGothic"/>
          <w:sz w:val="14"/>
          <w:szCs w:val="14"/>
          <w:color w:val="auto"/>
        </w:rPr>
        <w:t>☐</w:t>
      </w:r>
    </w:p>
    <w:p>
      <w:pPr>
        <w:spacing w:after="0" w:line="353" w:lineRule="exact"/>
        <w:rPr>
          <w:sz w:val="24"/>
          <w:szCs w:val="24"/>
          <w:color w:val="auto"/>
        </w:rPr>
      </w:pPr>
    </w:p>
    <w:p>
      <w:pPr>
        <w:sectPr>
          <w:pgSz w:w="11900" w:h="16838" w:orient="portrait"/>
          <w:cols w:equalWidth="0" w:num="6">
            <w:col w:w="1600" w:space="360"/>
            <w:col w:w="1580" w:space="720"/>
            <w:col w:w="1580" w:space="440"/>
            <w:col w:w="2200" w:space="720"/>
            <w:col w:w="1200" w:space="360"/>
            <w:col w:w="480"/>
          </w:cols>
          <w:pgMar w:left="320" w:top="1252"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ind w:right="2080"/>
        <w:spacing w:after="0" w:line="27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As of October 11, 2024 the registrant had 389,084,160 shares of common stock, par value $0.01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792480</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2"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 -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620" w:type="dxa"/>
            <w:vAlign w:val="bottom"/>
            <w:gridSpan w:val="2"/>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5"/>
                <w:szCs w:val="15"/>
                <w:color w:val="auto"/>
              </w:rPr>
            </w:pPr>
          </w:p>
        </w:tc>
        <w:tc>
          <w:tcPr>
            <w:tcW w:w="1420" w:type="dxa"/>
            <w:vAlign w:val="bottom"/>
            <w:gridSpan w:val="2"/>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74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7740" w:type="dxa"/>
            <w:vAlign w:val="bottom"/>
            <w:shd w:val="clear" w:color="auto" w:fill="CFF0FC"/>
          </w:tcPr>
          <w:p>
            <w:pPr>
              <w:ind w:left="34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40" w:type="dxa"/>
            <w:vAlign w:val="bottom"/>
            <w:shd w:val="clear" w:color="auto" w:fill="CFF0FC"/>
          </w:tcPr>
          <w:p>
            <w:pPr>
              <w:spacing w:after="0"/>
              <w:rPr>
                <w:sz w:val="20"/>
                <w:szCs w:val="20"/>
                <w:color w:val="auto"/>
              </w:rPr>
            </w:pPr>
          </w:p>
        </w:tc>
        <w:tc>
          <w:tcPr>
            <w:tcW w:w="1620" w:type="dxa"/>
            <w:vAlign w:val="bottom"/>
            <w:gridSpan w:val="2"/>
            <w:shd w:val="clear" w:color="auto" w:fill="CFF0FC"/>
          </w:tcPr>
          <w:p>
            <w:pPr>
              <w:jc w:val="center"/>
              <w:ind w:right="5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2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Receivables,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Inventories,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assets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5,918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1,908</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1,865</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right-of-use assets, operating</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Lease right-of-use assets, financing</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1,612</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Intangibles, net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450</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Investment in unconsolidated affiliates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assets</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5"/>
        </w:trPr>
        <w:tc>
          <w:tcPr>
            <w:tcW w:w="7740" w:type="dxa"/>
            <w:vAlign w:val="bottom"/>
          </w:tcPr>
          <w:p>
            <w:pPr>
              <w:ind w:left="184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4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5"/>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Accounts payable</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835</w:t>
            </w:r>
          </w:p>
        </w:tc>
        <w:tc>
          <w:tcPr>
            <w:tcW w:w="280" w:type="dxa"/>
            <w:vAlign w:val="bottom"/>
          </w:tcPr>
          <w:p>
            <w:pPr>
              <w:spacing w:after="0"/>
              <w:rPr>
                <w:sz w:val="20"/>
                <w:szCs w:val="20"/>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Contract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Current portion of lease liabilities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Accrued income taxes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1,721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Lease liabilities</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income taxes</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liabilities</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20"/>
                <w:szCs w:val="20"/>
                <w:color w:val="auto"/>
              </w:rPr>
            </w:pPr>
          </w:p>
        </w:tc>
      </w:tr>
      <w:tr>
        <w:trPr>
          <w:trHeight w:val="236"/>
        </w:trPr>
        <w:tc>
          <w:tcPr>
            <w:tcW w:w="774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Total liabilities</w:t>
            </w:r>
          </w:p>
        </w:tc>
        <w:tc>
          <w:tcPr>
            <w:tcW w:w="240" w:type="dxa"/>
            <w:vAlign w:val="bottom"/>
            <w:tcBorders>
              <w:bottom w:val="single" w:sz="8" w:color="auto"/>
            </w:tcBorders>
            <w:shd w:val="clear" w:color="auto" w:fill="CFF0FC"/>
          </w:tcPr>
          <w:p>
            <w:pPr>
              <w:spacing w:after="0"/>
              <w:rPr>
                <w:sz w:val="20"/>
                <w:szCs w:val="20"/>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4,906</w:t>
            </w: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5,052</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1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Common stock - par value $.01; 1 billion shares authorized; 389,084,160 and 393,945,659 shares</w:t>
            </w:r>
          </w:p>
        </w:tc>
        <w:tc>
          <w:tcPr>
            <w:tcW w:w="2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issued and outstanding at September 30, 2024 and December 31, 2023</w:t>
            </w:r>
          </w:p>
        </w:tc>
        <w:tc>
          <w:tcPr>
            <w:tcW w:w="2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20"/>
                <w:szCs w:val="20"/>
                <w:color w:val="auto"/>
              </w:rPr>
            </w:pPr>
          </w:p>
        </w:tc>
      </w:tr>
      <w:tr>
        <w:trPr>
          <w:trHeight w:val="249"/>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40" w:type="dxa"/>
            <w:vAlign w:val="bottom"/>
            <w:shd w:val="clear" w:color="auto" w:fill="CFF0FC"/>
          </w:tcPr>
          <w:p>
            <w:pPr>
              <w:spacing w:after="0"/>
              <w:rPr>
                <w:sz w:val="21"/>
                <w:szCs w:val="21"/>
                <w:color w:val="auto"/>
              </w:rPr>
            </w:pPr>
          </w:p>
        </w:tc>
        <w:tc>
          <w:tcPr>
            <w:tcW w:w="1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8,721</w:t>
            </w:r>
          </w:p>
        </w:tc>
        <w:tc>
          <w:tcPr>
            <w:tcW w:w="2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8,812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tcPr>
          <w:p>
            <w:pPr>
              <w:spacing w:after="0"/>
              <w:rPr>
                <w:sz w:val="20"/>
                <w:szCs w:val="20"/>
                <w:color w:val="auto"/>
              </w:rPr>
            </w:pPr>
          </w:p>
        </w:tc>
        <w:tc>
          <w:tcPr>
            <w:tcW w:w="16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(1,502 )</w:t>
            </w:r>
          </w:p>
        </w:tc>
        <w:tc>
          <w:tcPr>
            <w:tcW w:w="220" w:type="dxa"/>
            <w:vAlign w:val="bottom"/>
          </w:tcPr>
          <w:p>
            <w:pPr>
              <w:spacing w:after="0"/>
              <w:rPr>
                <w:sz w:val="20"/>
                <w:szCs w:val="20"/>
                <w:color w:val="auto"/>
              </w:rPr>
            </w:pPr>
          </w:p>
        </w:tc>
        <w:tc>
          <w:tcPr>
            <w:tcW w:w="1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(1,493 )</w:t>
            </w:r>
          </w:p>
        </w:tc>
      </w:tr>
      <w:tr>
        <w:trPr>
          <w:trHeight w:val="243"/>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Retained deficit</w:t>
            </w:r>
          </w:p>
        </w:tc>
        <w:tc>
          <w:tcPr>
            <w:tcW w:w="240" w:type="dxa"/>
            <w:vAlign w:val="bottom"/>
            <w:shd w:val="clear" w:color="auto" w:fill="CFF0FC"/>
          </w:tcPr>
          <w:p>
            <w:pPr>
              <w:spacing w:after="0"/>
              <w:rPr>
                <w:sz w:val="21"/>
                <w:szCs w:val="21"/>
                <w:color w:val="auto"/>
              </w:rPr>
            </w:pPr>
          </w:p>
        </w:tc>
        <w:tc>
          <w:tcPr>
            <w:tcW w:w="16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(759 )</w:t>
            </w:r>
          </w:p>
        </w:tc>
        <w:tc>
          <w:tcPr>
            <w:tcW w:w="22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(1,155 )</w:t>
            </w:r>
          </w:p>
        </w:tc>
      </w:tr>
      <w:tr>
        <w:trPr>
          <w:trHeight w:val="236"/>
        </w:trPr>
        <w:tc>
          <w:tcPr>
            <w:tcW w:w="7740" w:type="dxa"/>
            <w:vAlign w:val="bottom"/>
            <w:tcBorders>
              <w:top w:val="single" w:sz="8" w:color="CFF0FC"/>
            </w:tcBorders>
          </w:tcPr>
          <w:p>
            <w:pPr>
              <w:ind w:left="380"/>
              <w:spacing w:after="0"/>
              <w:rPr>
                <w:sz w:val="20"/>
                <w:szCs w:val="20"/>
                <w:color w:val="auto"/>
              </w:rPr>
            </w:pPr>
            <w:r>
              <w:rPr>
                <w:rFonts w:ascii="Times New Roman" w:cs="Times New Roman" w:eastAsia="Times New Roman" w:hAnsi="Times New Roman"/>
                <w:sz w:val="18"/>
                <w:szCs w:val="18"/>
                <w:color w:val="auto"/>
              </w:rPr>
              <w:t>Total Company stockholders' equity</w:t>
            </w:r>
          </w:p>
        </w:tc>
        <w:tc>
          <w:tcPr>
            <w:tcW w:w="240" w:type="dxa"/>
            <w:vAlign w:val="bottom"/>
            <w:tcBorders>
              <w:top w:val="single" w:sz="8" w:color="auto"/>
            </w:tcBorders>
          </w:tcPr>
          <w:p>
            <w:pPr>
              <w:spacing w:after="0"/>
              <w:rPr>
                <w:sz w:val="20"/>
                <w:szCs w:val="20"/>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6,464</w:t>
            </w:r>
          </w:p>
        </w:tc>
        <w:tc>
          <w:tcPr>
            <w:tcW w:w="28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00" w:type="dxa"/>
            <w:vAlign w:val="bottom"/>
            <w:tcBorders>
              <w:top w:val="single" w:sz="8" w:color="CFF0FC"/>
            </w:tcBorders>
          </w:tcPr>
          <w:p>
            <w:pPr>
              <w:spacing w:after="0"/>
              <w:rPr>
                <w:sz w:val="20"/>
                <w:szCs w:val="20"/>
                <w:color w:val="auto"/>
              </w:rPr>
            </w:pPr>
          </w:p>
        </w:tc>
      </w:tr>
      <w:tr>
        <w:trPr>
          <w:trHeight w:val="243"/>
        </w:trPr>
        <w:tc>
          <w:tcPr>
            <w:tcW w:w="77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240" w:type="dxa"/>
            <w:vAlign w:val="bottom"/>
            <w:tcBorders>
              <w:bottom w:val="single" w:sz="8" w:color="auto"/>
            </w:tcBorders>
            <w:shd w:val="clear" w:color="auto" w:fill="CFF0FC"/>
          </w:tcPr>
          <w:p>
            <w:pPr>
              <w:spacing w:after="0"/>
              <w:rPr>
                <w:sz w:val="21"/>
                <w:szCs w:val="21"/>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8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6,516</w:t>
            </w:r>
          </w:p>
        </w:tc>
        <w:tc>
          <w:tcPr>
            <w:tcW w:w="2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6,242</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11,422</w:t>
            </w:r>
          </w:p>
        </w:tc>
        <w:tc>
          <w:tcPr>
            <w:tcW w:w="28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11,294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-5496560</wp:posOffset>
            </wp:positionV>
            <wp:extent cx="7683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-5496560</wp:posOffset>
            </wp:positionV>
            <wp:extent cx="685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-3938270</wp:posOffset>
            </wp:positionV>
            <wp:extent cx="7683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-3921125</wp:posOffset>
            </wp:positionV>
            <wp:extent cx="7683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-3938270</wp:posOffset>
            </wp:positionV>
            <wp:extent cx="6858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-3921125</wp:posOffset>
            </wp:positionV>
            <wp:extent cx="6858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-2679700</wp:posOffset>
            </wp:positionV>
            <wp:extent cx="7683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-2679700</wp:posOffset>
            </wp:positionV>
            <wp:extent cx="6858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-1737360</wp:posOffset>
            </wp:positionV>
            <wp:extent cx="768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-1737360</wp:posOffset>
            </wp:positionV>
            <wp:extent cx="685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-667385</wp:posOffset>
            </wp:positionV>
            <wp:extent cx="7683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-667385</wp:posOffset>
            </wp:positionV>
            <wp:extent cx="685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-350520</wp:posOffset>
            </wp:positionV>
            <wp:extent cx="768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-24765</wp:posOffset>
            </wp:positionV>
            <wp:extent cx="7683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-7620</wp:posOffset>
            </wp:positionV>
            <wp:extent cx="768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 except per share data)</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240" w:type="dxa"/>
            <w:vAlign w:val="bottom"/>
          </w:tcPr>
          <w:p>
            <w:pPr>
              <w:spacing w:after="0"/>
              <w:rPr>
                <w:sz w:val="15"/>
                <w:szCs w:val="15"/>
                <w:color w:val="auto"/>
              </w:rPr>
            </w:pPr>
          </w:p>
        </w:tc>
        <w:tc>
          <w:tcPr>
            <w:tcW w:w="2100" w:type="dxa"/>
            <w:vAlign w:val="bottom"/>
            <w:gridSpan w:val="4"/>
          </w:tcPr>
          <w:p>
            <w:pPr>
              <w:jc w:val="right"/>
              <w:ind w:right="93"/>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5"/>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624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24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r>
      <w:tr>
        <w:trPr>
          <w:trHeight w:val="236"/>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20" w:type="dxa"/>
            <w:vAlign w:val="bottom"/>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2,191</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3"/>
              </w:rPr>
              <w:t>2,185</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shd w:val="clear" w:color="auto" w:fill="CFF0FC"/>
          </w:tcPr>
          <w:p>
            <w:pPr>
              <w:spacing w:after="0"/>
              <w:rPr>
                <w:sz w:val="20"/>
                <w:szCs w:val="20"/>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1,722</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3"/>
              </w:rPr>
              <w:t>1,717</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5,045</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4,904</w:t>
            </w:r>
          </w:p>
        </w:tc>
        <w:tc>
          <w:tcPr>
            <w:tcW w:w="100" w:type="dxa"/>
            <w:vAlign w:val="bottom"/>
          </w:tcPr>
          <w:p>
            <w:pPr>
              <w:spacing w:after="0"/>
              <w:rPr>
                <w:sz w:val="20"/>
                <w:szCs w:val="20"/>
                <w:color w:val="auto"/>
              </w:rPr>
            </w:pPr>
          </w:p>
        </w:tc>
      </w:tr>
      <w:tr>
        <w:trPr>
          <w:trHeight w:val="240"/>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Gross profit</w:t>
            </w: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1,517</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1,336</w:t>
            </w:r>
          </w:p>
        </w:tc>
        <w:tc>
          <w:tcPr>
            <w:tcW w:w="100" w:type="dxa"/>
            <w:vAlign w:val="bottom"/>
            <w:shd w:val="clear" w:color="auto" w:fill="CFF0FC"/>
          </w:tcPr>
          <w:p>
            <w:pPr>
              <w:spacing w:after="0"/>
              <w:rPr>
                <w:sz w:val="20"/>
                <w:szCs w:val="20"/>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275</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848</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846</w:t>
            </w:r>
          </w:p>
        </w:tc>
        <w:tc>
          <w:tcPr>
            <w:tcW w:w="100" w:type="dxa"/>
            <w:vAlign w:val="bottom"/>
          </w:tcPr>
          <w:p>
            <w:pPr>
              <w:spacing w:after="0"/>
              <w:rPr>
                <w:sz w:val="20"/>
                <w:szCs w:val="20"/>
                <w:color w:val="auto"/>
              </w:rPr>
            </w:pPr>
          </w:p>
        </w:tc>
      </w:tr>
      <w:tr>
        <w:trPr>
          <w:trHeight w:val="240"/>
        </w:trPr>
        <w:tc>
          <w:tcPr>
            <w:tcW w:w="6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profit</w:t>
            </w: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shd w:val="clear" w:color="auto" w:fill="CFF0FC"/>
          </w:tcPr>
          <w:p>
            <w:pPr>
              <w:spacing w:after="0"/>
              <w:rPr>
                <w:sz w:val="20"/>
                <w:szCs w:val="20"/>
                <w:color w:val="auto"/>
              </w:rPr>
            </w:pPr>
          </w:p>
        </w:tc>
        <w:tc>
          <w:tcPr>
            <w:tcW w:w="700" w:type="dxa"/>
            <w:vAlign w:val="bottom"/>
            <w:shd w:val="clear" w:color="auto" w:fill="CFF0FC"/>
          </w:tcPr>
          <w:p>
            <w:pPr>
              <w:spacing w:after="0"/>
              <w:rPr>
                <w:sz w:val="20"/>
                <w:szCs w:val="20"/>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4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shd w:val="clear" w:color="auto" w:fill="CFF0FC"/>
          </w:tcPr>
          <w:p>
            <w:pPr>
              <w:spacing w:after="0"/>
              <w:rPr>
                <w:sz w:val="20"/>
                <w:szCs w:val="20"/>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financial costs</w:t>
            </w:r>
          </w:p>
        </w:tc>
        <w:tc>
          <w:tcPr>
            <w:tcW w:w="72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(21 )</w:t>
            </w:r>
          </w:p>
        </w:tc>
        <w:tc>
          <w:tcPr>
            <w:tcW w:w="700" w:type="dxa"/>
            <w:vAlign w:val="bottom"/>
          </w:tcPr>
          <w:p>
            <w:pPr>
              <w:spacing w:after="0"/>
              <w:rPr>
                <w:sz w:val="20"/>
                <w:szCs w:val="20"/>
                <w:color w:val="auto"/>
              </w:rPr>
            </w:pPr>
          </w:p>
        </w:tc>
        <w:tc>
          <w:tcPr>
            <w:tcW w:w="6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(23 )</w:t>
            </w:r>
          </w:p>
        </w:tc>
        <w:tc>
          <w:tcPr>
            <w:tcW w:w="220" w:type="dxa"/>
            <w:vAlign w:val="bottom"/>
          </w:tcPr>
          <w:p>
            <w:pPr>
              <w:spacing w:after="0"/>
              <w:rPr>
                <w:sz w:val="20"/>
                <w:szCs w:val="20"/>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(67 )</w:t>
            </w:r>
          </w:p>
        </w:tc>
        <w:tc>
          <w:tcPr>
            <w:tcW w:w="320" w:type="dxa"/>
            <w:vAlign w:val="bottom"/>
          </w:tcPr>
          <w:p>
            <w:pPr>
              <w:spacing w:after="0"/>
              <w:rPr>
                <w:sz w:val="20"/>
                <w:szCs w:val="20"/>
                <w:color w:val="auto"/>
              </w:rPr>
            </w:pPr>
          </w:p>
        </w:tc>
        <w:tc>
          <w:tcPr>
            <w:tcW w:w="7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r>
        <w:trPr>
          <w:trHeight w:val="24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24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8"/>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income in unconsolidated affiliates</w:t>
            </w:r>
          </w:p>
        </w:tc>
        <w:tc>
          <w:tcPr>
            <w:tcW w:w="720" w:type="dxa"/>
            <w:vAlign w:val="bottom"/>
          </w:tcPr>
          <w:p>
            <w:pPr>
              <w:spacing w:after="0"/>
              <w:rPr>
                <w:sz w:val="20"/>
                <w:szCs w:val="20"/>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(10 )</w:t>
            </w:r>
          </w:p>
        </w:tc>
        <w:tc>
          <w:tcPr>
            <w:tcW w:w="7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(25 )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(34 )</w:t>
            </w:r>
          </w:p>
        </w:tc>
        <w:tc>
          <w:tcPr>
            <w:tcW w:w="3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(70 )</w:t>
            </w:r>
          </w:p>
        </w:tc>
      </w:tr>
      <w:tr>
        <w:trPr>
          <w:trHeight w:val="236"/>
        </w:trPr>
        <w:tc>
          <w:tcPr>
            <w:tcW w:w="6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before income taxes</w:t>
            </w:r>
          </w:p>
        </w:tc>
        <w:tc>
          <w:tcPr>
            <w:tcW w:w="72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26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632</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477</w:t>
            </w:r>
          </w:p>
        </w:tc>
        <w:tc>
          <w:tcPr>
            <w:tcW w:w="100" w:type="dxa"/>
            <w:vAlign w:val="bottom"/>
            <w:tcBorders>
              <w:top w:val="single" w:sz="8" w:color="CFF0FC"/>
            </w:tcBorders>
          </w:tcPr>
          <w:p>
            <w:pPr>
              <w:spacing w:after="0"/>
              <w:rPr>
                <w:sz w:val="20"/>
                <w:szCs w:val="20"/>
                <w:color w:val="auto"/>
              </w:rPr>
            </w:pPr>
          </w:p>
        </w:tc>
      </w:tr>
      <w:tr>
        <w:trPr>
          <w:trHeight w:val="243"/>
        </w:trPr>
        <w:tc>
          <w:tcPr>
            <w:tcW w:w="6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Borders>
              <w:bottom w:val="single" w:sz="8" w:color="CFF0FC"/>
            </w:tcBorders>
            <w:shd w:val="clear" w:color="auto" w:fill="CFF0FC"/>
          </w:tcPr>
          <w:p>
            <w:pPr>
              <w:spacing w:after="0"/>
              <w:rPr>
                <w:sz w:val="21"/>
                <w:szCs w:val="21"/>
                <w:color w:val="auto"/>
              </w:rPr>
            </w:pPr>
          </w:p>
        </w:tc>
        <w:tc>
          <w:tcPr>
            <w:tcW w:w="700" w:type="dxa"/>
            <w:vAlign w:val="bottom"/>
            <w:tcBorders>
              <w:bottom w:val="single" w:sz="8" w:color="auto"/>
            </w:tcBorders>
            <w:shd w:val="clear" w:color="auto" w:fill="CFF0FC"/>
          </w:tcPr>
          <w:p>
            <w:pPr>
              <w:spacing w:after="0"/>
              <w:rPr>
                <w:sz w:val="21"/>
                <w:szCs w:val="21"/>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Borders>
              <w:bottom w:val="single" w:sz="8" w:color="CFF0FC"/>
            </w:tcBorders>
            <w:shd w:val="clear" w:color="auto" w:fill="CFF0FC"/>
          </w:tcPr>
          <w:p>
            <w:pPr>
              <w:spacing w:after="0"/>
              <w:rPr>
                <w:sz w:val="21"/>
                <w:szCs w:val="21"/>
                <w:color w:val="auto"/>
              </w:rPr>
            </w:pPr>
          </w:p>
        </w:tc>
        <w:tc>
          <w:tcPr>
            <w:tcW w:w="220" w:type="dxa"/>
            <w:vAlign w:val="bottom"/>
            <w:tcBorders>
              <w:bottom w:val="single" w:sz="8" w:color="auto"/>
            </w:tcBorders>
            <w:shd w:val="clear" w:color="auto" w:fill="CFF0FC"/>
          </w:tcPr>
          <w:p>
            <w:pPr>
              <w:spacing w:after="0"/>
              <w:rPr>
                <w:sz w:val="21"/>
                <w:szCs w:val="21"/>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4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spacing w:after="0"/>
              <w:rPr>
                <w:sz w:val="21"/>
                <w:szCs w:val="21"/>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72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r>
      <w:tr>
        <w:trPr>
          <w:trHeight w:val="243"/>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attributable to noncontrolling interests</w:t>
            </w:r>
          </w:p>
        </w:tc>
        <w:tc>
          <w:tcPr>
            <w:tcW w:w="720" w:type="dxa"/>
            <w:vAlign w:val="bottom"/>
            <w:shd w:val="clear" w:color="auto" w:fill="CFF0FC"/>
          </w:tcPr>
          <w:p>
            <w:pPr>
              <w:spacing w:after="0"/>
              <w:rPr>
                <w:sz w:val="21"/>
                <w:szCs w:val="21"/>
                <w:color w:val="auto"/>
              </w:rPr>
            </w:pPr>
          </w:p>
        </w:tc>
        <w:tc>
          <w:tcPr>
            <w:tcW w:w="6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spacing w:after="0"/>
              <w:rPr>
                <w:sz w:val="21"/>
                <w:szCs w:val="21"/>
                <w:color w:val="auto"/>
              </w:rPr>
            </w:pPr>
          </w:p>
        </w:tc>
        <w:tc>
          <w:tcPr>
            <w:tcW w:w="6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220" w:type="dxa"/>
            <w:vAlign w:val="bottom"/>
            <w:shd w:val="clear" w:color="auto" w:fill="CFF0FC"/>
          </w:tcPr>
          <w:p>
            <w:pPr>
              <w:spacing w:after="0"/>
              <w:rPr>
                <w:sz w:val="21"/>
                <w:szCs w:val="21"/>
                <w:color w:val="auto"/>
              </w:rPr>
            </w:pP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320" w:type="dxa"/>
            <w:vAlign w:val="bottom"/>
            <w:shd w:val="clear" w:color="auto" w:fill="CFF0FC"/>
          </w:tcPr>
          <w:p>
            <w:pPr>
              <w:spacing w:after="0"/>
              <w:rPr>
                <w:sz w:val="21"/>
                <w:szCs w:val="21"/>
                <w:color w:val="auto"/>
              </w:rPr>
            </w:pPr>
          </w:p>
        </w:tc>
        <w:tc>
          <w:tcPr>
            <w:tcW w:w="7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36"/>
        </w:trPr>
        <w:tc>
          <w:tcPr>
            <w:tcW w:w="6240" w:type="dxa"/>
            <w:vAlign w:val="bottom"/>
            <w:tcBorders>
              <w:top w:val="single" w:sz="8" w:color="CFF0FC"/>
            </w:tcBorders>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Company</w:t>
            </w:r>
          </w:p>
        </w:tc>
        <w:tc>
          <w:tcPr>
            <w:tcW w:w="720" w:type="dxa"/>
            <w:vAlign w:val="bottom"/>
            <w:tcBorders>
              <w:top w:val="single" w:sz="8" w:color="auto"/>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Borders>
              <w:top w:val="single" w:sz="8" w:color="CFF0FC"/>
            </w:tcBorders>
          </w:tcPr>
          <w:p>
            <w:pPr>
              <w:spacing w:after="0"/>
              <w:rPr>
                <w:sz w:val="20"/>
                <w:szCs w:val="20"/>
                <w:color w:val="auto"/>
              </w:rPr>
            </w:pPr>
          </w:p>
        </w:tc>
        <w:tc>
          <w:tcPr>
            <w:tcW w:w="70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Borders>
              <w:top w:val="single" w:sz="8" w:color="CFF0FC"/>
            </w:tcBorders>
          </w:tcPr>
          <w:p>
            <w:pPr>
              <w:spacing w:after="0"/>
              <w:rPr>
                <w:sz w:val="20"/>
                <w:szCs w:val="20"/>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40" w:type="dxa"/>
            <w:vAlign w:val="bottom"/>
            <w:tcBorders>
              <w:top w:val="single" w:sz="8" w:color="CFF0FC"/>
            </w:tcBorders>
          </w:tcPr>
          <w:p>
            <w:pPr>
              <w:spacing w:after="0"/>
              <w:rPr>
                <w:sz w:val="20"/>
                <w:szCs w:val="20"/>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Borders>
              <w:top w:val="single" w:sz="8" w:color="CFF0FC"/>
            </w:tcBorders>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Company per share:</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Pr>
          <w:p>
            <w:pPr>
              <w:spacing w:after="0"/>
              <w:rPr>
                <w:sz w:val="20"/>
                <w:szCs w:val="20"/>
                <w:color w:val="auto"/>
              </w:rPr>
            </w:pP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tcPr>
          <w:p>
            <w:pPr>
              <w:spacing w:after="0"/>
              <w:rPr>
                <w:sz w:val="20"/>
                <w:szCs w:val="20"/>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Pr>
          <w:p>
            <w:pPr>
              <w:spacing w:after="0"/>
              <w:rPr>
                <w:sz w:val="20"/>
                <w:szCs w:val="20"/>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Borders>
              <w:bottom w:val="single" w:sz="8" w:color="auto"/>
            </w:tcBorders>
            <w:shd w:val="clear" w:color="auto" w:fill="CFF0FC"/>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23"/>
        </w:trPr>
        <w:tc>
          <w:tcPr>
            <w:tcW w:w="6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72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0.075</w:t>
            </w:r>
          </w:p>
        </w:tc>
        <w:tc>
          <w:tcPr>
            <w:tcW w:w="260" w:type="dxa"/>
            <w:vAlign w:val="bottom"/>
          </w:tcPr>
          <w:p>
            <w:pPr>
              <w:spacing w:after="0"/>
              <w:rPr>
                <w:sz w:val="19"/>
                <w:szCs w:val="19"/>
                <w:color w:val="auto"/>
              </w:rPr>
            </w:pPr>
          </w:p>
        </w:tc>
        <w:tc>
          <w:tcPr>
            <w:tcW w:w="700" w:type="dxa"/>
            <w:vAlign w:val="bottom"/>
            <w:tcBorders>
              <w:bottom w:val="single" w:sz="8" w:color="auto"/>
            </w:tcBorders>
          </w:tcPr>
          <w:p>
            <w:pPr>
              <w:jc w:val="right"/>
              <w:ind w:right="513"/>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220" w:type="dxa"/>
            <w:vAlign w:val="bottom"/>
          </w:tcPr>
          <w:p>
            <w:pPr>
              <w:spacing w:after="0"/>
              <w:rPr>
                <w:sz w:val="19"/>
                <w:szCs w:val="19"/>
                <w:color w:val="auto"/>
              </w:rPr>
            </w:pPr>
          </w:p>
        </w:tc>
        <w:tc>
          <w:tcPr>
            <w:tcW w:w="2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40" w:type="dxa"/>
            <w:vAlign w:val="bottom"/>
          </w:tcPr>
          <w:p>
            <w:pPr>
              <w:spacing w:after="0"/>
              <w:rPr>
                <w:sz w:val="19"/>
                <w:szCs w:val="19"/>
                <w:color w:val="auto"/>
              </w:rPr>
            </w:pPr>
          </w:p>
        </w:tc>
        <w:tc>
          <w:tcPr>
            <w:tcW w:w="32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19"/>
                <w:szCs w:val="19"/>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27"/>
        </w:trPr>
        <w:tc>
          <w:tcPr>
            <w:tcW w:w="6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Weighted average shares outstanding:</w:t>
            </w:r>
          </w:p>
        </w:tc>
        <w:tc>
          <w:tcPr>
            <w:tcW w:w="7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38"/>
        </w:trPr>
        <w:tc>
          <w:tcPr>
            <w:tcW w:w="6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260" w:type="dxa"/>
            <w:vAlign w:val="bottom"/>
          </w:tcPr>
          <w:p>
            <w:pPr>
              <w:spacing w:after="0"/>
              <w:rPr>
                <w:sz w:val="20"/>
                <w:szCs w:val="20"/>
                <w:color w:val="auto"/>
              </w:rPr>
            </w:pPr>
          </w:p>
        </w:tc>
        <w:tc>
          <w:tcPr>
            <w:tcW w:w="7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r>
      <w:tr>
        <w:trPr>
          <w:trHeight w:val="20"/>
        </w:trPr>
        <w:tc>
          <w:tcPr>
            <w:tcW w:w="62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63"/>
        </w:trPr>
        <w:tc>
          <w:tcPr>
            <w:tcW w:w="624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72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260" w:type="dxa"/>
            <w:vAlign w:val="bottom"/>
            <w:tcBorders>
              <w:bottom w:val="single" w:sz="8" w:color="CFF0FC"/>
            </w:tcBorders>
            <w:shd w:val="clear" w:color="auto" w:fill="CFF0FC"/>
          </w:tcPr>
          <w:p>
            <w:pPr>
              <w:spacing w:after="0"/>
              <w:rPr>
                <w:sz w:val="22"/>
                <w:szCs w:val="22"/>
                <w:color w:val="auto"/>
              </w:rPr>
            </w:pPr>
          </w:p>
        </w:tc>
        <w:tc>
          <w:tcPr>
            <w:tcW w:w="700" w:type="dxa"/>
            <w:vAlign w:val="bottom"/>
            <w:tcBorders>
              <w:bottom w:val="single" w:sz="8" w:color="auto"/>
            </w:tcBorders>
            <w:shd w:val="clear" w:color="auto" w:fill="CFF0FC"/>
          </w:tcPr>
          <w:p>
            <w:pPr>
              <w:spacing w:after="0"/>
              <w:rPr>
                <w:sz w:val="22"/>
                <w:szCs w:val="22"/>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Borders>
              <w:bottom w:val="single" w:sz="8" w:color="CFF0FC"/>
            </w:tcBorders>
            <w:shd w:val="clear" w:color="auto" w:fill="CFF0FC"/>
          </w:tcPr>
          <w:p>
            <w:pPr>
              <w:spacing w:after="0"/>
              <w:rPr>
                <w:sz w:val="22"/>
                <w:szCs w:val="2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-2028825</wp:posOffset>
            </wp:positionV>
            <wp:extent cx="7683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-2028825</wp:posOffset>
            </wp:positionV>
            <wp:extent cx="6858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-2028825</wp:posOffset>
            </wp:positionV>
            <wp:extent cx="6858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-2028825</wp:posOffset>
            </wp:positionV>
            <wp:extent cx="6858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-1711960</wp:posOffset>
            </wp:positionV>
            <wp:extent cx="768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-1711960</wp:posOffset>
            </wp:positionV>
            <wp:extent cx="6858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-1711960</wp:posOffset>
            </wp:positionV>
            <wp:extent cx="68580"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-1711960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-1395095</wp:posOffset>
            </wp:positionV>
            <wp:extent cx="7683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-1395095</wp:posOffset>
            </wp:positionV>
            <wp:extent cx="6858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-1395095</wp:posOffset>
            </wp:positionV>
            <wp:extent cx="6858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-1395095</wp:posOffset>
            </wp:positionV>
            <wp:extent cx="6858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-718820</wp:posOffset>
            </wp:positionV>
            <wp:extent cx="768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-701675</wp:posOffset>
            </wp:positionV>
            <wp:extent cx="7683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-718820</wp:posOffset>
            </wp:positionV>
            <wp:extent cx="6858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-701675</wp:posOffset>
            </wp:positionV>
            <wp:extent cx="6858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-718820</wp:posOffset>
            </wp:positionV>
            <wp:extent cx="6858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-701675</wp:posOffset>
            </wp:positionV>
            <wp:extent cx="6858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-718820</wp:posOffset>
            </wp:positionV>
            <wp:extent cx="6858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-701675</wp:posOffset>
            </wp:positionV>
            <wp:extent cx="6858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-24765</wp:posOffset>
            </wp:positionV>
            <wp:extent cx="7683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-7620</wp:posOffset>
            </wp:positionV>
            <wp:extent cx="7683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-24765</wp:posOffset>
            </wp:positionV>
            <wp:extent cx="6858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-7620</wp:posOffset>
            </wp:positionV>
            <wp:extent cx="6858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-24765</wp:posOffset>
            </wp:positionV>
            <wp:extent cx="6858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6315710</wp:posOffset>
            </wp:positionH>
            <wp:positionV relativeFrom="paragraph">
              <wp:posOffset>-7620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188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3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20" w:type="dxa"/>
            <w:vAlign w:val="bottom"/>
            <w:gridSpan w:val="4"/>
          </w:tcPr>
          <w:p>
            <w:pPr>
              <w:jc w:val="right"/>
              <w:ind w:right="5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648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25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64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00" w:type="dxa"/>
            <w:vAlign w:val="bottom"/>
            <w:tcBorders>
              <w:bottom w:val="single" w:sz="8" w:color="auto"/>
            </w:tcBorders>
          </w:tcPr>
          <w:p>
            <w:pPr>
              <w:spacing w:after="0"/>
              <w:rPr>
                <w:sz w:val="14"/>
                <w:szCs w:val="14"/>
                <w:color w:val="auto"/>
              </w:rPr>
            </w:pPr>
          </w:p>
        </w:tc>
        <w:tc>
          <w:tcPr>
            <w:tcW w:w="380" w:type="dxa"/>
            <w:vAlign w:val="bottom"/>
          </w:tcPr>
          <w:p>
            <w:pPr>
              <w:spacing w:after="0"/>
              <w:rPr>
                <w:sz w:val="14"/>
                <w:szCs w:val="14"/>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3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236"/>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00" w:type="dxa"/>
            <w:vAlign w:val="bottom"/>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380" w:type="dxa"/>
            <w:vAlign w:val="bottom"/>
            <w:shd w:val="clear" w:color="auto" w:fill="CFF0FC"/>
          </w:tcPr>
          <w:p>
            <w:pPr>
              <w:spacing w:after="0"/>
              <w:rPr>
                <w:sz w:val="20"/>
                <w:szCs w:val="20"/>
                <w:color w:val="auto"/>
              </w:rPr>
            </w:pPr>
          </w:p>
        </w:tc>
        <w:tc>
          <w:tcPr>
            <w:tcW w:w="600" w:type="dxa"/>
            <w:vAlign w:val="bottom"/>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20" w:type="dxa"/>
            <w:vAlign w:val="bottom"/>
            <w:shd w:val="clear" w:color="auto" w:fill="CFF0FC"/>
          </w:tcPr>
          <w:p>
            <w:pPr>
              <w:spacing w:after="0"/>
              <w:rPr>
                <w:sz w:val="20"/>
                <w:szCs w:val="20"/>
                <w:color w:val="auto"/>
              </w:rPr>
            </w:pPr>
          </w:p>
        </w:tc>
        <w:tc>
          <w:tcPr>
            <w:tcW w:w="840" w:type="dxa"/>
            <w:vAlign w:val="bottom"/>
            <w:gridSpan w:val="2"/>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474</w:t>
            </w:r>
          </w:p>
        </w:tc>
        <w:tc>
          <w:tcPr>
            <w:tcW w:w="360" w:type="dxa"/>
            <w:vAlign w:val="bottom"/>
            <w:shd w:val="clear" w:color="auto" w:fill="CFF0FC"/>
          </w:tcPr>
          <w:p>
            <w:pPr>
              <w:spacing w:after="0"/>
              <w:rPr>
                <w:sz w:val="20"/>
                <w:szCs w:val="20"/>
                <w:color w:val="auto"/>
              </w:rPr>
            </w:pPr>
          </w:p>
        </w:tc>
        <w:tc>
          <w:tcPr>
            <w:tcW w:w="580" w:type="dxa"/>
            <w:vAlign w:val="bottom"/>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390</w:t>
            </w:r>
          </w:p>
        </w:tc>
        <w:tc>
          <w:tcPr>
            <w:tcW w:w="100" w:type="dxa"/>
            <w:vAlign w:val="bottom"/>
            <w:shd w:val="clear" w:color="auto" w:fill="CFF0FC"/>
          </w:tcPr>
          <w:p>
            <w:pPr>
              <w:spacing w:after="0"/>
              <w:rPr>
                <w:sz w:val="20"/>
                <w:szCs w:val="20"/>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Currency translation adjustments</w:t>
            </w:r>
          </w:p>
        </w:tc>
        <w:tc>
          <w:tcPr>
            <w:tcW w:w="6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(31 )</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(8 )</w:t>
            </w:r>
          </w:p>
        </w:tc>
        <w:tc>
          <w:tcPr>
            <w:tcW w:w="5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20"/>
                <w:szCs w:val="20"/>
                <w:color w:val="auto"/>
              </w:rPr>
            </w:pPr>
          </w:p>
        </w:tc>
      </w:tr>
      <w:tr>
        <w:trPr>
          <w:trHeight w:val="247"/>
        </w:trPr>
        <w:tc>
          <w:tcPr>
            <w:tcW w:w="6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Changes in derivative financial instruments, net of tax</w:t>
            </w: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3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6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(8 )</w:t>
            </w: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Changes in defined benefit plans, net of tax</w:t>
            </w:r>
          </w:p>
        </w:tc>
        <w:tc>
          <w:tcPr>
            <w:tcW w:w="600" w:type="dxa"/>
            <w:vAlign w:val="bottom"/>
          </w:tcPr>
          <w:p>
            <w:pPr>
              <w:spacing w:after="0"/>
              <w:rPr>
                <w:sz w:val="20"/>
                <w:szCs w:val="20"/>
                <w:color w:val="auto"/>
              </w:rPr>
            </w:pPr>
          </w:p>
        </w:tc>
        <w:tc>
          <w:tcPr>
            <w:tcW w:w="6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(4 )</w:t>
            </w:r>
          </w:p>
        </w:tc>
        <w:tc>
          <w:tcPr>
            <w:tcW w:w="6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(5 )</w:t>
            </w:r>
          </w:p>
        </w:tc>
        <w:tc>
          <w:tcPr>
            <w:tcW w:w="58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r>
      <w:tr>
        <w:trPr>
          <w:trHeight w:val="240"/>
        </w:trPr>
        <w:tc>
          <w:tcPr>
            <w:tcW w:w="6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income</w:t>
            </w: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600" w:type="dxa"/>
            <w:vAlign w:val="bottom"/>
            <w:tcBorders>
              <w:top w:val="single" w:sz="8" w:color="auto"/>
            </w:tcBorders>
            <w:shd w:val="clear" w:color="auto" w:fill="CFF0FC"/>
          </w:tcPr>
          <w:p>
            <w:pPr>
              <w:spacing w:after="0"/>
              <w:rPr>
                <w:sz w:val="20"/>
                <w:szCs w:val="20"/>
                <w:color w:val="auto"/>
              </w:rPr>
            </w:pPr>
          </w:p>
        </w:tc>
        <w:tc>
          <w:tcPr>
            <w:tcW w:w="2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465</w:t>
            </w:r>
          </w:p>
        </w:tc>
        <w:tc>
          <w:tcPr>
            <w:tcW w:w="360" w:type="dxa"/>
            <w:vAlign w:val="bottom"/>
            <w:shd w:val="clear" w:color="auto" w:fill="CFF0FC"/>
          </w:tcPr>
          <w:p>
            <w:pPr>
              <w:spacing w:after="0"/>
              <w:rPr>
                <w:sz w:val="20"/>
                <w:szCs w:val="20"/>
                <w:color w:val="auto"/>
              </w:rPr>
            </w:pPr>
          </w:p>
        </w:tc>
        <w:tc>
          <w:tcPr>
            <w:tcW w:w="580" w:type="dxa"/>
            <w:vAlign w:val="bottom"/>
            <w:tcBorders>
              <w:top w:val="single" w:sz="8" w:color="auto"/>
            </w:tcBorders>
            <w:shd w:val="clear" w:color="auto" w:fill="CFF0FC"/>
          </w:tcPr>
          <w:p>
            <w:pPr>
              <w:spacing w:after="0"/>
              <w:rPr>
                <w:sz w:val="20"/>
                <w:szCs w:val="20"/>
                <w:color w:val="auto"/>
              </w:rPr>
            </w:pPr>
          </w:p>
        </w:tc>
        <w:tc>
          <w:tcPr>
            <w:tcW w:w="3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441</w:t>
            </w:r>
          </w:p>
        </w:tc>
        <w:tc>
          <w:tcPr>
            <w:tcW w:w="100" w:type="dxa"/>
            <w:vAlign w:val="bottom"/>
            <w:shd w:val="clear" w:color="auto" w:fill="CFF0FC"/>
          </w:tcPr>
          <w:p>
            <w:pPr>
              <w:spacing w:after="0"/>
              <w:rPr>
                <w:sz w:val="20"/>
                <w:szCs w:val="20"/>
                <w:color w:val="auto"/>
              </w:rPr>
            </w:pPr>
          </w:p>
        </w:tc>
      </w:tr>
      <w:tr>
        <w:trPr>
          <w:trHeight w:val="238"/>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Comprehensive loss attributable to noncontrolling interest</w:t>
            </w:r>
          </w:p>
        </w:tc>
        <w:tc>
          <w:tcPr>
            <w:tcW w:w="600" w:type="dxa"/>
            <w:vAlign w:val="bottom"/>
          </w:tcPr>
          <w:p>
            <w:pPr>
              <w:spacing w:after="0"/>
              <w:rPr>
                <w:sz w:val="20"/>
                <w:szCs w:val="20"/>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(6 )</w:t>
            </w:r>
          </w:p>
        </w:tc>
        <w:tc>
          <w:tcPr>
            <w:tcW w:w="2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4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(1 )</w:t>
            </w:r>
          </w:p>
        </w:tc>
        <w:tc>
          <w:tcPr>
            <w:tcW w:w="580" w:type="dxa"/>
            <w:vAlign w:val="bottom"/>
          </w:tcPr>
          <w:p>
            <w:pPr>
              <w:spacing w:after="0"/>
              <w:rPr>
                <w:sz w:val="20"/>
                <w:szCs w:val="20"/>
                <w:color w:val="auto"/>
              </w:rPr>
            </w:pPr>
          </w:p>
        </w:tc>
        <w:tc>
          <w:tcPr>
            <w:tcW w:w="4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76"/>
        </w:trPr>
        <w:tc>
          <w:tcPr>
            <w:tcW w:w="64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Comprehensive income attributable to Company</w:t>
            </w:r>
          </w:p>
        </w:tc>
        <w:tc>
          <w:tcPr>
            <w:tcW w:w="600" w:type="dxa"/>
            <w:vAlign w:val="bottom"/>
            <w:tcBorders>
              <w:top w:val="single" w:sz="8" w:color="auto"/>
              <w:bottom w:val="single" w:sz="8" w:color="auto"/>
            </w:tcBorders>
            <w:shd w:val="clear" w:color="auto" w:fill="CFF0FC"/>
          </w:tcPr>
          <w:p>
            <w:pPr>
              <w:jc w:val="right"/>
              <w:ind w:right="419"/>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38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41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600" w:type="dxa"/>
            <w:vAlign w:val="bottom"/>
            <w:tcBorders>
              <w:top w:val="single" w:sz="8" w:color="auto"/>
              <w:bottom w:val="single" w:sz="8" w:color="auto"/>
            </w:tcBorders>
            <w:shd w:val="clear" w:color="auto" w:fill="CFF0FC"/>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466</w:t>
            </w:r>
          </w:p>
        </w:tc>
        <w:tc>
          <w:tcPr>
            <w:tcW w:w="360" w:type="dxa"/>
            <w:vAlign w:val="bottom"/>
            <w:tcBorders>
              <w:bottom w:val="single" w:sz="8" w:color="CFF0FC"/>
            </w:tcBorders>
            <w:shd w:val="clear" w:color="auto" w:fill="CFF0FC"/>
          </w:tcPr>
          <w:p>
            <w:pPr>
              <w:spacing w:after="0"/>
              <w:rPr>
                <w:sz w:val="24"/>
                <w:szCs w:val="24"/>
                <w:color w:val="auto"/>
              </w:rPr>
            </w:pPr>
          </w:p>
        </w:tc>
        <w:tc>
          <w:tcPr>
            <w:tcW w:w="580" w:type="dxa"/>
            <w:vAlign w:val="bottom"/>
            <w:tcBorders>
              <w:top w:val="single" w:sz="8" w:color="auto"/>
              <w:bottom w:val="single" w:sz="8" w:color="auto"/>
            </w:tcBorders>
            <w:shd w:val="clear" w:color="auto" w:fill="CFF0FC"/>
          </w:tcPr>
          <w:p>
            <w:pPr>
              <w:jc w:val="right"/>
              <w:ind w:right="396"/>
              <w:spacing w:after="0"/>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6"/>
              </w:rPr>
              <w:t>446</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4688840</wp:posOffset>
            </wp:positionH>
            <wp:positionV relativeFrom="paragraph">
              <wp:posOffset>-24765</wp:posOffset>
            </wp:positionV>
            <wp:extent cx="7683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4688840</wp:posOffset>
            </wp:positionH>
            <wp:positionV relativeFrom="paragraph">
              <wp:posOffset>-7620</wp:posOffset>
            </wp:positionV>
            <wp:extent cx="7683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-24765</wp:posOffset>
            </wp:positionV>
            <wp:extent cx="7683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-7620</wp:posOffset>
            </wp:positionV>
            <wp:extent cx="7683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-24765</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7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87"/>
        </w:trPr>
        <w:tc>
          <w:tcPr>
            <w:tcW w:w="77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4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0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77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390</w:t>
            </w:r>
          </w:p>
        </w:tc>
        <w:tc>
          <w:tcPr>
            <w:tcW w:w="100" w:type="dxa"/>
            <w:vAlign w:val="bottom"/>
          </w:tcPr>
          <w:p>
            <w:pPr>
              <w:spacing w:after="0"/>
              <w:rPr>
                <w:sz w:val="20"/>
                <w:szCs w:val="20"/>
                <w:color w:val="auto"/>
              </w:rPr>
            </w:pPr>
          </w:p>
        </w:tc>
      </w:tr>
      <w:tr>
        <w:trPr>
          <w:trHeight w:val="215"/>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(used in)</w:t>
            </w:r>
          </w:p>
        </w:tc>
        <w:tc>
          <w:tcPr>
            <w:tcW w:w="10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540" w:type="dxa"/>
            <w:vAlign w:val="bottom"/>
            <w:shd w:val="clear" w:color="auto" w:fill="CFF0FC"/>
          </w:tcPr>
          <w:p>
            <w:pPr>
              <w:spacing w:after="0"/>
              <w:rPr>
                <w:sz w:val="18"/>
                <w:szCs w:val="18"/>
                <w:color w:val="auto"/>
              </w:rPr>
            </w:pPr>
          </w:p>
        </w:tc>
        <w:tc>
          <w:tcPr>
            <w:tcW w:w="10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48"/>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operating activities: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Provision for inventory losses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Deferred income taxes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Equity income in unconsolidated affiliates</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(37 )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Dividend from unconsolidated affiliate</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Stock-based compensation</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Gain on business divestiture</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(131 )</w:t>
            </w:r>
          </w:p>
        </w:tc>
        <w:tc>
          <w:tcPr>
            <w:tcW w:w="5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Impairment and loss on assets held for sale</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net</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(36 )</w:t>
            </w:r>
          </w:p>
        </w:tc>
      </w:tr>
      <w:tr>
        <w:trPr>
          <w:trHeight w:val="247"/>
        </w:trPr>
        <w:tc>
          <w:tcPr>
            <w:tcW w:w="77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Change in operating assets and liabilities, net of acquisitions: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Receivables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(258 )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Inventories</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(479 )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 assets</w:t>
            </w:r>
          </w:p>
        </w:tc>
        <w:tc>
          <w:tcPr>
            <w:tcW w:w="100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Prepaid and other current assets</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(22 )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Accounts payable</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(87 )</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Accrued liabilities</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(72 )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(170 )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Contract liabilities</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(38 )</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Income taxes payable</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 assets/liabilities, net</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(37 )</w:t>
            </w:r>
          </w:p>
        </w:tc>
        <w:tc>
          <w:tcPr>
            <w:tcW w:w="5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0"/>
                <w:szCs w:val="20"/>
                <w:color w:val="auto"/>
              </w:rPr>
            </w:pP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(233 )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(207 )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Business acquisitions, net of cash acquired</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(252 )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Business divestitures, net of cash disposed</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20"/>
                <w:szCs w:val="20"/>
                <w:color w:val="auto"/>
              </w:rPr>
            </w:pPr>
          </w:p>
        </w:tc>
      </w:tr>
      <w:tr>
        <w:trPr>
          <w:trHeight w:val="236"/>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(308 )</w:t>
            </w: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(211 )</w:t>
            </w:r>
          </w:p>
        </w:tc>
      </w:tr>
      <w:tr>
        <w:trPr>
          <w:trHeight w:val="236"/>
        </w:trPr>
        <w:tc>
          <w:tcPr>
            <w:tcW w:w="774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000" w:type="dxa"/>
            <w:vAlign w:val="bottom"/>
            <w:tcBorders>
              <w:top w:val="single" w:sz="8" w:color="auto"/>
            </w:tcBorders>
          </w:tcPr>
          <w:p>
            <w:pPr>
              <w:spacing w:after="0"/>
              <w:rPr>
                <w:sz w:val="20"/>
                <w:szCs w:val="20"/>
                <w:color w:val="auto"/>
              </w:rPr>
            </w:pPr>
          </w:p>
        </w:tc>
        <w:tc>
          <w:tcPr>
            <w:tcW w:w="580" w:type="dxa"/>
            <w:vAlign w:val="bottom"/>
            <w:tcBorders>
              <w:top w:val="single" w:sz="8" w:color="auto"/>
            </w:tcBorders>
          </w:tcPr>
          <w:p>
            <w:pPr>
              <w:spacing w:after="0"/>
              <w:rPr>
                <w:sz w:val="20"/>
                <w:szCs w:val="20"/>
                <w:color w:val="auto"/>
              </w:rPr>
            </w:pPr>
          </w:p>
        </w:tc>
        <w:tc>
          <w:tcPr>
            <w:tcW w:w="280" w:type="dxa"/>
            <w:vAlign w:val="bottom"/>
            <w:tcBorders>
              <w:top w:val="single" w:sz="8" w:color="CFF0FC"/>
            </w:tcBorders>
          </w:tcPr>
          <w:p>
            <w:pPr>
              <w:spacing w:after="0"/>
              <w:rPr>
                <w:sz w:val="20"/>
                <w:szCs w:val="20"/>
                <w:color w:val="auto"/>
              </w:rPr>
            </w:pPr>
          </w:p>
        </w:tc>
        <w:tc>
          <w:tcPr>
            <w:tcW w:w="5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Borders>
              <w:top w:val="single" w:sz="8" w:color="CFF0FC"/>
            </w:tcBorders>
          </w:tcPr>
          <w:p>
            <w:pPr>
              <w:spacing w:after="0"/>
              <w:rPr>
                <w:sz w:val="20"/>
                <w:szCs w:val="20"/>
                <w:color w:val="auto"/>
              </w:rPr>
            </w:pP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Borrowings against lines of credit and other debt</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419</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Payments against lines of credit and other debt</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(422 )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(65 )</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Cash dividends paid</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(79 )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(60 )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Share repurchases</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(117 )</w:t>
            </w:r>
          </w:p>
        </w:tc>
        <w:tc>
          <w:tcPr>
            <w:tcW w:w="540" w:type="dxa"/>
            <w:vAlign w:val="bottom"/>
          </w:tcPr>
          <w:p>
            <w:pPr>
              <w:spacing w:after="0"/>
              <w:rPr>
                <w:sz w:val="20"/>
                <w:szCs w:val="20"/>
                <w:color w:val="auto"/>
              </w:rPr>
            </w:pPr>
          </w:p>
        </w:tc>
        <w:tc>
          <w:tcPr>
            <w:tcW w:w="11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7740" w:type="dxa"/>
            <w:vAlign w:val="bottom"/>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Financing leases</w:t>
            </w:r>
          </w:p>
        </w:tc>
        <w:tc>
          <w:tcPr>
            <w:tcW w:w="1000" w:type="dxa"/>
            <w:vAlign w:val="bottom"/>
            <w:shd w:val="clear" w:color="auto" w:fill="CFF0FC"/>
          </w:tcPr>
          <w:p>
            <w:pPr>
              <w:spacing w:after="0"/>
              <w:rPr>
                <w:sz w:val="21"/>
                <w:szCs w:val="21"/>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(19 )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(17 )</w:t>
            </w:r>
          </w:p>
        </w:tc>
      </w:tr>
      <w:tr>
        <w:trPr>
          <w:trHeight w:val="238"/>
        </w:trPr>
        <w:tc>
          <w:tcPr>
            <w:tcW w:w="774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Other</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(26 )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36"/>
        </w:trPr>
        <w:tc>
          <w:tcPr>
            <w:tcW w:w="7740" w:type="dxa"/>
            <w:vAlign w:val="bottom"/>
            <w:shd w:val="clear" w:color="auto" w:fill="CFF0FC"/>
          </w:tcPr>
          <w:p>
            <w:pPr>
              <w:ind w:left="5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FF0FC"/>
          </w:tcPr>
          <w:p>
            <w:pPr>
              <w:spacing w:after="0"/>
              <w:rPr>
                <w:sz w:val="20"/>
                <w:szCs w:val="20"/>
                <w:color w:val="auto"/>
              </w:rPr>
            </w:pPr>
          </w:p>
        </w:tc>
        <w:tc>
          <w:tcPr>
            <w:tcW w:w="8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(235 )</w:t>
            </w:r>
          </w:p>
        </w:tc>
        <w:tc>
          <w:tcPr>
            <w:tcW w:w="5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r>
        <w:trPr>
          <w:trHeight w:val="20"/>
        </w:trPr>
        <w:tc>
          <w:tcPr>
            <w:tcW w:w="7740" w:type="dxa"/>
            <w:vAlign w:val="bottom"/>
            <w:shd w:val="clear" w:color="auto" w:fill="CFF0FC"/>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36"/>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exchange rates on cash</w:t>
            </w:r>
          </w:p>
        </w:tc>
        <w:tc>
          <w:tcPr>
            <w:tcW w:w="1000" w:type="dxa"/>
            <w:vAlign w:val="bottom"/>
          </w:tcPr>
          <w:p>
            <w:pPr>
              <w:spacing w:after="0"/>
              <w:rPr>
                <w:sz w:val="20"/>
                <w:szCs w:val="20"/>
                <w:color w:val="auto"/>
              </w:rPr>
            </w:pPr>
          </w:p>
        </w:tc>
        <w:tc>
          <w:tcPr>
            <w:tcW w:w="8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r>
      <w:tr>
        <w:trPr>
          <w:trHeight w:val="20"/>
        </w:trPr>
        <w:tc>
          <w:tcPr>
            <w:tcW w:w="774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0"/>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(decrease) in cash and cash equivalents</w:t>
            </w:r>
          </w:p>
        </w:tc>
        <w:tc>
          <w:tcPr>
            <w:tcW w:w="1000" w:type="dxa"/>
            <w:vAlign w:val="bottom"/>
            <w:shd w:val="clear" w:color="auto" w:fill="CFF0FC"/>
          </w:tcPr>
          <w:p>
            <w:pPr>
              <w:spacing w:after="0"/>
              <w:rPr>
                <w:sz w:val="20"/>
                <w:szCs w:val="20"/>
                <w:color w:val="auto"/>
              </w:rPr>
            </w:pP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shd w:val="clear" w:color="auto" w:fill="CFF0FC"/>
          </w:tcPr>
          <w:p>
            <w:pPr>
              <w:spacing w:after="0"/>
              <w:rPr>
                <w:sz w:val="20"/>
                <w:szCs w:val="20"/>
                <w:color w:val="auto"/>
              </w:rPr>
            </w:pPr>
          </w:p>
        </w:tc>
        <w:tc>
          <w:tcPr>
            <w:tcW w:w="540" w:type="dxa"/>
            <w:vAlign w:val="bottom"/>
            <w:shd w:val="clear" w:color="auto" w:fill="CFF0FC"/>
          </w:tcPr>
          <w:p>
            <w:pPr>
              <w:spacing w:after="0"/>
              <w:rPr>
                <w:sz w:val="20"/>
                <w:szCs w:val="20"/>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(556 )</w:t>
            </w:r>
          </w:p>
        </w:tc>
      </w:tr>
      <w:tr>
        <w:trPr>
          <w:trHeight w:val="238"/>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 beginning of period</w:t>
            </w:r>
          </w:p>
        </w:tc>
        <w:tc>
          <w:tcPr>
            <w:tcW w:w="1000" w:type="dxa"/>
            <w:vAlign w:val="bottom"/>
            <w:tcBorders>
              <w:bottom w:val="single" w:sz="8" w:color="auto"/>
            </w:tcBorders>
          </w:tcPr>
          <w:p>
            <w:pPr>
              <w:spacing w:after="0"/>
              <w:rPr>
                <w:sz w:val="20"/>
                <w:szCs w:val="20"/>
                <w:color w:val="auto"/>
              </w:rPr>
            </w:pPr>
          </w:p>
        </w:tc>
        <w:tc>
          <w:tcPr>
            <w:tcW w:w="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816</w:t>
            </w:r>
          </w:p>
        </w:tc>
        <w:tc>
          <w:tcPr>
            <w:tcW w:w="280" w:type="dxa"/>
            <w:vAlign w:val="bottom"/>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00" w:type="dxa"/>
            <w:vAlign w:val="bottom"/>
          </w:tcPr>
          <w:p>
            <w:pPr>
              <w:spacing w:after="0"/>
              <w:rPr>
                <w:sz w:val="20"/>
                <w:szCs w:val="20"/>
                <w:color w:val="auto"/>
              </w:rPr>
            </w:pPr>
          </w:p>
        </w:tc>
      </w:tr>
      <w:tr>
        <w:trPr>
          <w:trHeight w:val="276"/>
        </w:trPr>
        <w:tc>
          <w:tcPr>
            <w:tcW w:w="77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end of period</w:t>
            </w:r>
          </w:p>
        </w:tc>
        <w:tc>
          <w:tcPr>
            <w:tcW w:w="1000" w:type="dxa"/>
            <w:vAlign w:val="bottom"/>
            <w:tcBorders>
              <w:bottom w:val="single" w:sz="8" w:color="auto"/>
            </w:tcBorders>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985</w:t>
            </w:r>
          </w:p>
        </w:tc>
        <w:tc>
          <w:tcPr>
            <w:tcW w:w="2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auto"/>
            </w:tcBorders>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513</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77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77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Supplemental disclosures of cash flow information:</w:t>
            </w:r>
          </w:p>
        </w:tc>
        <w:tc>
          <w:tcPr>
            <w:tcW w:w="1000" w:type="dxa"/>
            <w:vAlign w:val="bottom"/>
            <w:shd w:val="clear" w:color="auto" w:fill="CFF0FC"/>
          </w:tcPr>
          <w:p>
            <w:pPr>
              <w:spacing w:after="0"/>
              <w:rPr>
                <w:sz w:val="21"/>
                <w:szCs w:val="21"/>
                <w:color w:val="auto"/>
              </w:rPr>
            </w:pPr>
          </w:p>
        </w:tc>
        <w:tc>
          <w:tcPr>
            <w:tcW w:w="5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spacing w:after="0"/>
              <w:rPr>
                <w:sz w:val="21"/>
                <w:szCs w:val="21"/>
                <w:color w:val="auto"/>
              </w:rPr>
            </w:pPr>
          </w:p>
        </w:tc>
        <w:tc>
          <w:tcPr>
            <w:tcW w:w="100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774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Cash payments during the period for:</w:t>
            </w:r>
          </w:p>
        </w:tc>
        <w:tc>
          <w:tcPr>
            <w:tcW w:w="10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7"/>
        </w:trPr>
        <w:tc>
          <w:tcPr>
            <w:tcW w:w="7740" w:type="dxa"/>
            <w:vAlign w:val="bottom"/>
            <w:shd w:val="clear" w:color="auto" w:fill="CFF0FC"/>
          </w:tcPr>
          <w:p>
            <w:pPr>
              <w:ind w:left="740"/>
              <w:spacing w:after="0"/>
              <w:rPr>
                <w:sz w:val="20"/>
                <w:szCs w:val="20"/>
                <w:color w:val="auto"/>
              </w:rPr>
            </w:pPr>
            <w:r>
              <w:rPr>
                <w:rFonts w:ascii="Times New Roman" w:cs="Times New Roman" w:eastAsia="Times New Roman" w:hAnsi="Times New Roman"/>
                <w:sz w:val="18"/>
                <w:szCs w:val="18"/>
                <w:color w:val="auto"/>
              </w:rPr>
              <w:t>Interest</w:t>
            </w:r>
          </w:p>
        </w:tc>
        <w:tc>
          <w:tcPr>
            <w:tcW w:w="1000" w:type="dxa"/>
            <w:vAlign w:val="bottom"/>
            <w:shd w:val="clear" w:color="auto" w:fill="CFF0FC"/>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80" w:type="dxa"/>
            <w:vAlign w:val="bottom"/>
            <w:shd w:val="clear" w:color="auto" w:fill="CFF0FC"/>
          </w:tcPr>
          <w:p>
            <w:pPr>
              <w:spacing w:after="0"/>
              <w:rPr>
                <w:sz w:val="21"/>
                <w:szCs w:val="21"/>
                <w:color w:val="auto"/>
              </w:rPr>
            </w:pPr>
          </w:p>
        </w:tc>
        <w:tc>
          <w:tcPr>
            <w:tcW w:w="540" w:type="dxa"/>
            <w:vAlign w:val="bottom"/>
            <w:shd w:val="clear" w:color="auto" w:fill="CFF0FC"/>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shd w:val="clear" w:color="auto" w:fill="CFF0FC"/>
          </w:tcPr>
          <w:p>
            <w:pPr>
              <w:spacing w:after="0"/>
              <w:rPr>
                <w:sz w:val="21"/>
                <w:szCs w:val="21"/>
                <w:color w:val="auto"/>
              </w:rPr>
            </w:pPr>
          </w:p>
        </w:tc>
      </w:tr>
      <w:tr>
        <w:trPr>
          <w:trHeight w:val="234"/>
        </w:trPr>
        <w:tc>
          <w:tcPr>
            <w:tcW w:w="774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Income taxes</w:t>
            </w:r>
          </w:p>
        </w:tc>
        <w:tc>
          <w:tcPr>
            <w:tcW w:w="1000" w:type="dxa"/>
            <w:vAlign w:val="bottom"/>
          </w:tcPr>
          <w:p>
            <w:pPr>
              <w:jc w:val="right"/>
              <w:ind w:right="793"/>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80" w:type="dxa"/>
            <w:vAlign w:val="bottom"/>
          </w:tcPr>
          <w:p>
            <w:pPr>
              <w:spacing w:after="0"/>
              <w:rPr>
                <w:sz w:val="20"/>
                <w:szCs w:val="20"/>
                <w:color w:val="auto"/>
              </w:rPr>
            </w:pPr>
          </w:p>
        </w:tc>
        <w:tc>
          <w:tcPr>
            <w:tcW w:w="54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5913120</wp:posOffset>
            </wp:positionH>
            <wp:positionV relativeFrom="paragraph">
              <wp:posOffset>-3624580</wp:posOffset>
            </wp:positionV>
            <wp:extent cx="7683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-3624580</wp:posOffset>
            </wp:positionV>
            <wp:extent cx="6858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-2682240</wp:posOffset>
            </wp:positionV>
            <wp:extent cx="7683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-2682240</wp:posOffset>
            </wp:positionV>
            <wp:extent cx="685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-1432560</wp:posOffset>
            </wp:positionV>
            <wp:extent cx="7683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-1432560</wp:posOffset>
            </wp:positionV>
            <wp:extent cx="6858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-789940</wp:posOffset>
            </wp:positionV>
            <wp:extent cx="7683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5913120</wp:posOffset>
            </wp:positionH>
            <wp:positionV relativeFrom="paragraph">
              <wp:posOffset>-772795</wp:posOffset>
            </wp:positionV>
            <wp:extent cx="7683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-789940</wp:posOffset>
            </wp:positionV>
            <wp:extent cx="6858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-772795</wp:posOffset>
            </wp:positionV>
            <wp:extent cx="6858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millions)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80" w:type="dxa"/>
            <w:vAlign w:val="bottom"/>
            <w:gridSpan w:val="2"/>
          </w:tcPr>
          <w:p>
            <w:pPr>
              <w:jc w:val="center"/>
              <w:ind w:right="279"/>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gridSpan w:val="2"/>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21"/>
        </w:trPr>
        <w:tc>
          <w:tcPr>
            <w:tcW w:w="362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Issued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gridSpan w:val="3"/>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1080" w:type="dxa"/>
            <w:vAlign w:val="bottom"/>
            <w:gridSpan w:val="2"/>
          </w:tcPr>
          <w:p>
            <w:pPr>
              <w:jc w:val="center"/>
              <w:ind w:right="279"/>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1"/>
        </w:trPr>
        <w:tc>
          <w:tcPr>
            <w:tcW w:w="3620" w:type="dxa"/>
            <w:vAlign w:val="bottom"/>
          </w:tcPr>
          <w:p>
            <w:pPr>
              <w:spacing w:after="0"/>
              <w:rPr>
                <w:sz w:val="10"/>
                <w:szCs w:val="10"/>
                <w:color w:val="auto"/>
              </w:rPr>
            </w:pPr>
          </w:p>
        </w:tc>
        <w:tc>
          <w:tcPr>
            <w:tcW w:w="940" w:type="dxa"/>
            <w:vAlign w:val="bottom"/>
            <w:gridSpan w:val="2"/>
          </w:tcPr>
          <w:p>
            <w:pPr>
              <w:jc w:val="center"/>
              <w:ind w:right="28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80" w:type="dxa"/>
            <w:vAlign w:val="bottom"/>
          </w:tcPr>
          <w:p>
            <w:pPr>
              <w:spacing w:after="0"/>
              <w:rPr>
                <w:sz w:val="10"/>
                <w:szCs w:val="10"/>
                <w:color w:val="auto"/>
              </w:rPr>
            </w:pPr>
          </w:p>
        </w:tc>
        <w:tc>
          <w:tcPr>
            <w:tcW w:w="80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Common</w:t>
            </w:r>
          </w:p>
        </w:tc>
        <w:tc>
          <w:tcPr>
            <w:tcW w:w="100" w:type="dxa"/>
            <w:vAlign w:val="bottom"/>
          </w:tcPr>
          <w:p>
            <w:pPr>
              <w:spacing w:after="0"/>
              <w:rPr>
                <w:sz w:val="10"/>
                <w:szCs w:val="10"/>
                <w:color w:val="auto"/>
              </w:rPr>
            </w:pPr>
          </w:p>
        </w:tc>
        <w:tc>
          <w:tcPr>
            <w:tcW w:w="840" w:type="dxa"/>
            <w:vAlign w:val="bottom"/>
            <w:gridSpan w:val="2"/>
          </w:tcPr>
          <w:p>
            <w:pPr>
              <w:jc w:val="center"/>
              <w:ind w:right="38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0"/>
                <w:szCs w:val="10"/>
                <w:color w:val="auto"/>
              </w:rPr>
            </w:pPr>
          </w:p>
        </w:tc>
        <w:tc>
          <w:tcPr>
            <w:tcW w:w="1080" w:type="dxa"/>
            <w:vAlign w:val="bottom"/>
            <w:gridSpan w:val="2"/>
          </w:tcPr>
          <w:p>
            <w:pPr>
              <w:jc w:val="center"/>
              <w:ind w:right="279"/>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100" w:type="dxa"/>
            <w:vAlign w:val="bottom"/>
          </w:tcPr>
          <w:p>
            <w:pPr>
              <w:spacing w:after="0"/>
              <w:rPr>
                <w:sz w:val="10"/>
                <w:szCs w:val="10"/>
                <w:color w:val="auto"/>
              </w:rPr>
            </w:pPr>
          </w:p>
        </w:tc>
        <w:tc>
          <w:tcPr>
            <w:tcW w:w="720" w:type="dxa"/>
            <w:vAlign w:val="bottom"/>
            <w:gridSpan w:val="2"/>
          </w:tcPr>
          <w:p>
            <w:pPr>
              <w:jc w:val="right"/>
              <w:ind w:right="239"/>
              <w:spacing w:after="0" w:line="122" w:lineRule="exact"/>
              <w:rPr>
                <w:sz w:val="20"/>
                <w:szCs w:val="20"/>
                <w:color w:val="auto"/>
              </w:rPr>
            </w:pPr>
            <w:r>
              <w:rPr>
                <w:rFonts w:ascii="Times New Roman" w:cs="Times New Roman" w:eastAsia="Times New Roman" w:hAnsi="Times New Roman"/>
                <w:sz w:val="11"/>
                <w:szCs w:val="11"/>
                <w:b w:val="1"/>
                <w:bCs w:val="1"/>
                <w:color w:val="auto"/>
                <w:w w:val="90"/>
              </w:rPr>
              <w:t>Retained</w:t>
            </w:r>
          </w:p>
        </w:tc>
        <w:tc>
          <w:tcPr>
            <w:tcW w:w="100" w:type="dxa"/>
            <w:vAlign w:val="bottom"/>
          </w:tcPr>
          <w:p>
            <w:pPr>
              <w:spacing w:after="0"/>
              <w:rPr>
                <w:sz w:val="10"/>
                <w:szCs w:val="10"/>
                <w:color w:val="auto"/>
              </w:rPr>
            </w:pPr>
          </w:p>
        </w:tc>
        <w:tc>
          <w:tcPr>
            <w:tcW w:w="940" w:type="dxa"/>
            <w:vAlign w:val="bottom"/>
            <w:gridSpan w:val="2"/>
          </w:tcPr>
          <w:p>
            <w:pPr>
              <w:jc w:val="center"/>
              <w:ind w:right="32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10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44"/>
        </w:trPr>
        <w:tc>
          <w:tcPr>
            <w:tcW w:w="3620" w:type="dxa"/>
            <w:vAlign w:val="bottom"/>
          </w:tcPr>
          <w:p>
            <w:pPr>
              <w:spacing w:after="0"/>
              <w:rPr>
                <w:sz w:val="12"/>
                <w:szCs w:val="12"/>
                <w:color w:val="auto"/>
              </w:rPr>
            </w:pPr>
          </w:p>
        </w:tc>
        <w:tc>
          <w:tcPr>
            <w:tcW w:w="940" w:type="dxa"/>
            <w:vAlign w:val="bottom"/>
            <w:gridSpan w:val="2"/>
          </w:tcPr>
          <w:p>
            <w:pPr>
              <w:jc w:val="center"/>
              <w:ind w:right="280"/>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80" w:type="dxa"/>
            <w:vAlign w:val="bottom"/>
          </w:tcPr>
          <w:p>
            <w:pPr>
              <w:spacing w:after="0"/>
              <w:rPr>
                <w:sz w:val="12"/>
                <w:szCs w:val="12"/>
                <w:color w:val="auto"/>
              </w:rPr>
            </w:pPr>
          </w:p>
        </w:tc>
        <w:tc>
          <w:tcPr>
            <w:tcW w:w="8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100" w:type="dxa"/>
            <w:vAlign w:val="bottom"/>
          </w:tcPr>
          <w:p>
            <w:pPr>
              <w:spacing w:after="0"/>
              <w:rPr>
                <w:sz w:val="12"/>
                <w:szCs w:val="12"/>
                <w:color w:val="auto"/>
              </w:rPr>
            </w:pPr>
          </w:p>
        </w:tc>
        <w:tc>
          <w:tcPr>
            <w:tcW w:w="840" w:type="dxa"/>
            <w:vAlign w:val="bottom"/>
            <w:gridSpan w:val="2"/>
          </w:tcPr>
          <w:p>
            <w:pPr>
              <w:jc w:val="center"/>
              <w:ind w:right="380"/>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100" w:type="dxa"/>
            <w:vAlign w:val="bottom"/>
          </w:tcPr>
          <w:p>
            <w:pPr>
              <w:spacing w:after="0"/>
              <w:rPr>
                <w:sz w:val="12"/>
                <w:szCs w:val="12"/>
                <w:color w:val="auto"/>
              </w:rPr>
            </w:pPr>
          </w:p>
        </w:tc>
        <w:tc>
          <w:tcPr>
            <w:tcW w:w="1080" w:type="dxa"/>
            <w:vAlign w:val="bottom"/>
            <w:gridSpan w:val="2"/>
          </w:tcPr>
          <w:p>
            <w:pPr>
              <w:jc w:val="center"/>
              <w:ind w:right="279"/>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100" w:type="dxa"/>
            <w:vAlign w:val="bottom"/>
          </w:tcPr>
          <w:p>
            <w:pPr>
              <w:spacing w:after="0"/>
              <w:rPr>
                <w:sz w:val="12"/>
                <w:szCs w:val="12"/>
                <w:color w:val="auto"/>
              </w:rPr>
            </w:pPr>
          </w:p>
        </w:tc>
        <w:tc>
          <w:tcPr>
            <w:tcW w:w="720" w:type="dxa"/>
            <w:vAlign w:val="bottom"/>
            <w:gridSpan w:val="2"/>
          </w:tcPr>
          <w:p>
            <w:pPr>
              <w:jc w:val="right"/>
              <w:ind w:right="279"/>
              <w:spacing w:after="0"/>
              <w:rPr>
                <w:sz w:val="20"/>
                <w:szCs w:val="20"/>
                <w:color w:val="auto"/>
              </w:rPr>
            </w:pPr>
            <w:r>
              <w:rPr>
                <w:rFonts w:ascii="Times New Roman" w:cs="Times New Roman" w:eastAsia="Times New Roman" w:hAnsi="Times New Roman"/>
                <w:sz w:val="11"/>
                <w:szCs w:val="11"/>
                <w:b w:val="1"/>
                <w:bCs w:val="1"/>
                <w:color w:val="auto"/>
              </w:rPr>
              <w:t>Deficit</w:t>
            </w:r>
          </w:p>
        </w:tc>
        <w:tc>
          <w:tcPr>
            <w:tcW w:w="100" w:type="dxa"/>
            <w:vAlign w:val="bottom"/>
          </w:tcPr>
          <w:p>
            <w:pPr>
              <w:spacing w:after="0"/>
              <w:rPr>
                <w:sz w:val="12"/>
                <w:szCs w:val="12"/>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140" w:type="dxa"/>
            <w:vAlign w:val="bottom"/>
          </w:tcPr>
          <w:p>
            <w:pPr>
              <w:spacing w:after="0"/>
              <w:rPr>
                <w:sz w:val="12"/>
                <w:szCs w:val="12"/>
                <w:color w:val="auto"/>
              </w:rPr>
            </w:pPr>
          </w:p>
        </w:tc>
        <w:tc>
          <w:tcPr>
            <w:tcW w:w="90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140" w:type="dxa"/>
            <w:vAlign w:val="bottom"/>
          </w:tcPr>
          <w:p>
            <w:pPr>
              <w:spacing w:after="0"/>
              <w:rPr>
                <w:sz w:val="12"/>
                <w:szCs w:val="12"/>
                <w:color w:val="auto"/>
              </w:rPr>
            </w:pPr>
          </w:p>
        </w:tc>
        <w:tc>
          <w:tcPr>
            <w:tcW w:w="640" w:type="dxa"/>
            <w:vAlign w:val="bottom"/>
            <w:gridSpan w:val="2"/>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rPr>
              <w:t>Equity</w:t>
            </w:r>
          </w:p>
        </w:tc>
      </w:tr>
      <w:tr>
        <w:trPr>
          <w:trHeight w:val="229"/>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December 31, 2023</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8,812</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(1,493</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color w:val="auto"/>
              </w:rPr>
              <w:t>$ (1,155</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6,168</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6,242</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shd w:val="clear" w:color="auto" w:fill="CFF0FC"/>
          </w:tcPr>
          <w:p>
            <w:pPr>
              <w:spacing w:after="0"/>
              <w:rPr>
                <w:sz w:val="18"/>
                <w:szCs w:val="18"/>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(27 )</w:t>
            </w:r>
          </w:p>
        </w:tc>
        <w:tc>
          <w:tcPr>
            <w:tcW w:w="100" w:type="dxa"/>
            <w:vAlign w:val="bottom"/>
          </w:tcPr>
          <w:p>
            <w:pPr>
              <w:spacing w:after="0"/>
              <w:rPr>
                <w:sz w:val="19"/>
                <w:szCs w:val="19"/>
                <w:color w:val="auto"/>
              </w:rPr>
            </w:pPr>
          </w:p>
        </w:tc>
        <w:tc>
          <w:tcPr>
            <w:tcW w:w="7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(27 )</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(27 )</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FF0FC"/>
          </w:tcPr>
          <w:p>
            <w:pPr>
              <w:spacing w:after="0"/>
              <w:rPr>
                <w:sz w:val="20"/>
                <w:szCs w:val="20"/>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Common stock issued</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(15 )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(15 )</w:t>
            </w: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9"/>
                <w:szCs w:val="19"/>
                <w:color w:val="auto"/>
              </w:rPr>
            </w:pPr>
          </w:p>
        </w:tc>
      </w:tr>
      <w:tr>
        <w:trPr>
          <w:trHeight w:val="246"/>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March 31, 2024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396</w:t>
            </w:r>
          </w:p>
        </w:tc>
        <w:tc>
          <w:tcPr>
            <w:tcW w:w="26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8,818</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right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(1,520 )</w:t>
            </w:r>
          </w:p>
        </w:tc>
        <w:tc>
          <w:tcPr>
            <w:tcW w:w="820" w:type="dxa"/>
            <w:vAlign w:val="bottom"/>
            <w:tcBorders>
              <w:right w:val="single" w:sz="8" w:color="CFF0FC"/>
            </w:tcBorders>
            <w:gridSpan w:val="3"/>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 (1,056 )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6,246</w:t>
            </w:r>
          </w:p>
        </w:tc>
        <w:tc>
          <w:tcPr>
            <w:tcW w:w="22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6,321</w:t>
            </w:r>
          </w:p>
        </w:tc>
        <w:tc>
          <w:tcPr>
            <w:tcW w:w="100" w:type="dxa"/>
            <w:vAlign w:val="bottom"/>
            <w:shd w:val="clear" w:color="auto" w:fill="CFF0FC"/>
          </w:tcPr>
          <w:p>
            <w:pPr>
              <w:spacing w:after="0"/>
              <w:rPr>
                <w:sz w:val="21"/>
                <w:szCs w:val="21"/>
                <w:color w:val="auto"/>
              </w:rPr>
            </w:pPr>
          </w:p>
        </w:tc>
      </w:tr>
      <w:tr>
        <w:trPr>
          <w:trHeight w:val="20"/>
        </w:trPr>
        <w:tc>
          <w:tcPr>
            <w:tcW w:w="36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0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(3 )</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223</w:t>
            </w:r>
          </w:p>
        </w:tc>
        <w:tc>
          <w:tcPr>
            <w:tcW w:w="100" w:type="dxa"/>
            <w:vAlign w:val="bottom"/>
          </w:tcPr>
          <w:p>
            <w:pPr>
              <w:spacing w:after="0"/>
              <w:rPr>
                <w:sz w:val="17"/>
                <w:szCs w:val="17"/>
                <w:color w:val="auto"/>
              </w:rPr>
            </w:pP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$0.075 per common share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(30 )</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(30 )</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(30 )</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(19 )</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(36 )</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(2 )</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(37 )</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(37 )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(37 )</w:t>
            </w: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r>
      <w:tr>
        <w:trPr>
          <w:trHeight w:val="266"/>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June 30, 2024</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60" w:type="dxa"/>
            <w:vAlign w:val="bottom"/>
            <w:tcBorders>
              <w:right w:val="single" w:sz="8" w:color="CFF0FC"/>
            </w:tcBorders>
            <w:shd w:val="clear" w:color="auto" w:fill="CFF0FC"/>
          </w:tcPr>
          <w:p>
            <w:pPr>
              <w:spacing w:after="0"/>
              <w:rPr>
                <w:sz w:val="23"/>
                <w:szCs w:val="23"/>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right w:val="single" w:sz="8" w:color="CFF0FC"/>
            </w:tcBorders>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8,784</w:t>
            </w:r>
          </w:p>
        </w:tc>
        <w:tc>
          <w:tcPr>
            <w:tcW w:w="240" w:type="dxa"/>
            <w:vAlign w:val="bottom"/>
            <w:tcBorders>
              <w:right w:val="single" w:sz="8" w:color="CFF0FC"/>
            </w:tcBorders>
            <w:shd w:val="clear" w:color="auto" w:fill="CFF0FC"/>
          </w:tcPr>
          <w:p>
            <w:pPr>
              <w:spacing w:after="0"/>
              <w:rPr>
                <w:sz w:val="23"/>
                <w:szCs w:val="23"/>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right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(1,549 )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right w:val="single" w:sz="8" w:color="CFF0FC"/>
            </w:tcBorders>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(860 )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6,379</w:t>
            </w:r>
          </w:p>
        </w:tc>
        <w:tc>
          <w:tcPr>
            <w:tcW w:w="220" w:type="dxa"/>
            <w:vAlign w:val="bottom"/>
            <w:tcBorders>
              <w:right w:val="single" w:sz="8" w:color="CFF0FC"/>
            </w:tcBorders>
            <w:shd w:val="clear" w:color="auto" w:fill="CFF0FC"/>
          </w:tcPr>
          <w:p>
            <w:pPr>
              <w:spacing w:after="0"/>
              <w:rPr>
                <w:sz w:val="23"/>
                <w:szCs w:val="23"/>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220" w:type="dxa"/>
            <w:vAlign w:val="bottom"/>
            <w:shd w:val="clear" w:color="auto" w:fill="CFF0FC"/>
          </w:tcPr>
          <w:p>
            <w:pPr>
              <w:spacing w:after="0"/>
              <w:rPr>
                <w:sz w:val="23"/>
                <w:szCs w:val="23"/>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6,432</w:t>
            </w:r>
          </w:p>
        </w:tc>
        <w:tc>
          <w:tcPr>
            <w:tcW w:w="100" w:type="dxa"/>
            <w:vAlign w:val="bottom"/>
            <w:shd w:val="clear" w:color="auto" w:fill="CFF0FC"/>
          </w:tcPr>
          <w:p>
            <w:pPr>
              <w:spacing w:after="0"/>
              <w:rPr>
                <w:sz w:val="23"/>
                <w:szCs w:val="23"/>
                <w:color w:val="auto"/>
              </w:rPr>
            </w:pPr>
          </w:p>
        </w:tc>
      </w:tr>
      <w:tr>
        <w:trPr>
          <w:trHeight w:val="200"/>
        </w:trPr>
        <w:tc>
          <w:tcPr>
            <w:tcW w:w="36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top w:val="single" w:sz="8" w:color="CFF0FC"/>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Borders>
              <w:top w:val="single" w:sz="8" w:color="CFF0FC"/>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CFF0FC"/>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00" w:type="dxa"/>
            <w:vAlign w:val="bottom"/>
            <w:tcBorders>
              <w:top w:val="single" w:sz="8" w:color="CFF0FC"/>
            </w:tcBorders>
          </w:tcPr>
          <w:p>
            <w:pPr>
              <w:spacing w:after="0"/>
              <w:rPr>
                <w:sz w:val="17"/>
                <w:szCs w:val="17"/>
                <w:color w:val="auto"/>
              </w:rPr>
            </w:pP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FF0FC"/>
          </w:tcPr>
          <w:p>
            <w:pPr>
              <w:spacing w:after="0"/>
              <w:rPr>
                <w:sz w:val="20"/>
                <w:szCs w:val="20"/>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$0.075 per common share</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9"/>
                <w:szCs w:val="19"/>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9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Share repurchases</w:t>
            </w:r>
          </w:p>
        </w:tc>
        <w:tc>
          <w:tcPr>
            <w:tcW w:w="9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(5 )</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(80 )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(80 )</w:t>
            </w:r>
          </w:p>
        </w:tc>
      </w:tr>
      <w:tr>
        <w:trPr>
          <w:trHeight w:val="223"/>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2024</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389</w:t>
            </w:r>
          </w:p>
        </w:tc>
        <w:tc>
          <w:tcPr>
            <w:tcW w:w="260" w:type="dxa"/>
            <w:vAlign w:val="bottom"/>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8,721</w:t>
            </w:r>
          </w:p>
        </w:tc>
        <w:tc>
          <w:tcPr>
            <w:tcW w:w="24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(1,502</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220" w:type="dxa"/>
            <w:vAlign w:val="bottom"/>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6,464</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22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6,516</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15"/>
        </w:trPr>
        <w:tc>
          <w:tcPr>
            <w:tcW w:w="3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279"/>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1"/>
                <w:szCs w:val="11"/>
                <w:b w:val="1"/>
                <w:bCs w:val="1"/>
                <w:color w:val="auto"/>
                <w:w w:val="95"/>
              </w:rPr>
              <w:t>Total</w:t>
            </w: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21"/>
        </w:trPr>
        <w:tc>
          <w:tcPr>
            <w:tcW w:w="362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Issued</w:t>
            </w:r>
          </w:p>
        </w:tc>
        <w:tc>
          <w:tcPr>
            <w:tcW w:w="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Additional</w:t>
            </w:r>
          </w:p>
        </w:tc>
        <w:tc>
          <w:tcPr>
            <w:tcW w:w="100" w:type="dxa"/>
            <w:vAlign w:val="bottom"/>
          </w:tcPr>
          <w:p>
            <w:pPr>
              <w:spacing w:after="0"/>
              <w:rPr>
                <w:sz w:val="10"/>
                <w:szCs w:val="10"/>
                <w:color w:val="auto"/>
              </w:rPr>
            </w:pPr>
          </w:p>
        </w:tc>
        <w:tc>
          <w:tcPr>
            <w:tcW w:w="1080" w:type="dxa"/>
            <w:vAlign w:val="bottom"/>
            <w:gridSpan w:val="2"/>
          </w:tcPr>
          <w:p>
            <w:pPr>
              <w:jc w:val="center"/>
              <w:ind w:right="279"/>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gridSpan w:val="2"/>
          </w:tcPr>
          <w:p>
            <w:pPr>
              <w:jc w:val="center"/>
              <w:ind w:right="360"/>
              <w:spacing w:after="0" w:line="122" w:lineRule="exact"/>
              <w:rPr>
                <w:sz w:val="20"/>
                <w:szCs w:val="20"/>
                <w:color w:val="auto"/>
              </w:rPr>
            </w:pPr>
            <w:r>
              <w:rPr>
                <w:rFonts w:ascii="Times New Roman" w:cs="Times New Roman" w:eastAsia="Times New Roman" w:hAnsi="Times New Roman"/>
                <w:sz w:val="11"/>
                <w:szCs w:val="11"/>
                <w:b w:val="1"/>
                <w:bCs w:val="1"/>
                <w:color w:val="auto"/>
              </w:rPr>
              <w:t>Company</w:t>
            </w: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5"/>
              </w:rPr>
              <w:t>Total</w:t>
            </w:r>
          </w:p>
        </w:tc>
      </w:tr>
      <w:tr>
        <w:trPr>
          <w:trHeight w:val="121"/>
        </w:trPr>
        <w:tc>
          <w:tcPr>
            <w:tcW w:w="3620" w:type="dxa"/>
            <w:vAlign w:val="bottom"/>
          </w:tcPr>
          <w:p>
            <w:pPr>
              <w:spacing w:after="0"/>
              <w:rPr>
                <w:sz w:val="10"/>
                <w:szCs w:val="10"/>
                <w:color w:val="auto"/>
              </w:rPr>
            </w:pPr>
          </w:p>
        </w:tc>
        <w:tc>
          <w:tcPr>
            <w:tcW w:w="940" w:type="dxa"/>
            <w:vAlign w:val="bottom"/>
            <w:gridSpan w:val="2"/>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rPr>
              <w:t>and</w:t>
            </w:r>
          </w:p>
        </w:tc>
        <w:tc>
          <w:tcPr>
            <w:tcW w:w="80" w:type="dxa"/>
            <w:vAlign w:val="bottom"/>
          </w:tcPr>
          <w:p>
            <w:pPr>
              <w:spacing w:after="0"/>
              <w:rPr>
                <w:sz w:val="10"/>
                <w:szCs w:val="10"/>
                <w:color w:val="auto"/>
              </w:rPr>
            </w:pPr>
          </w:p>
        </w:tc>
        <w:tc>
          <w:tcPr>
            <w:tcW w:w="80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6"/>
              </w:rPr>
              <w:t>Common</w:t>
            </w:r>
          </w:p>
        </w:tc>
        <w:tc>
          <w:tcPr>
            <w:tcW w:w="100" w:type="dxa"/>
            <w:vAlign w:val="bottom"/>
          </w:tcPr>
          <w:p>
            <w:pPr>
              <w:spacing w:after="0"/>
              <w:rPr>
                <w:sz w:val="10"/>
                <w:szCs w:val="10"/>
                <w:color w:val="auto"/>
              </w:rPr>
            </w:pPr>
          </w:p>
        </w:tc>
        <w:tc>
          <w:tcPr>
            <w:tcW w:w="840" w:type="dxa"/>
            <w:vAlign w:val="bottom"/>
            <w:gridSpan w:val="2"/>
          </w:tcPr>
          <w:p>
            <w:pPr>
              <w:jc w:val="center"/>
              <w:ind w:right="340"/>
              <w:spacing w:after="0" w:line="122" w:lineRule="exact"/>
              <w:rPr>
                <w:sz w:val="20"/>
                <w:szCs w:val="20"/>
                <w:color w:val="auto"/>
              </w:rPr>
            </w:pPr>
            <w:r>
              <w:rPr>
                <w:rFonts w:ascii="Times New Roman" w:cs="Times New Roman" w:eastAsia="Times New Roman" w:hAnsi="Times New Roman"/>
                <w:sz w:val="11"/>
                <w:szCs w:val="11"/>
                <w:b w:val="1"/>
                <w:bCs w:val="1"/>
                <w:color w:val="auto"/>
                <w:w w:val="99"/>
              </w:rPr>
              <w:t>Paid-in</w:t>
            </w:r>
          </w:p>
        </w:tc>
        <w:tc>
          <w:tcPr>
            <w:tcW w:w="100" w:type="dxa"/>
            <w:vAlign w:val="bottom"/>
          </w:tcPr>
          <w:p>
            <w:pPr>
              <w:spacing w:after="0"/>
              <w:rPr>
                <w:sz w:val="10"/>
                <w:szCs w:val="10"/>
                <w:color w:val="auto"/>
              </w:rPr>
            </w:pPr>
          </w:p>
        </w:tc>
        <w:tc>
          <w:tcPr>
            <w:tcW w:w="1080" w:type="dxa"/>
            <w:vAlign w:val="bottom"/>
            <w:gridSpan w:val="2"/>
          </w:tcPr>
          <w:p>
            <w:pPr>
              <w:jc w:val="center"/>
              <w:ind w:right="279"/>
              <w:spacing w:after="0" w:line="122" w:lineRule="exact"/>
              <w:rPr>
                <w:sz w:val="20"/>
                <w:szCs w:val="20"/>
                <w:color w:val="auto"/>
              </w:rPr>
            </w:pPr>
            <w:r>
              <w:rPr>
                <w:rFonts w:ascii="Times New Roman" w:cs="Times New Roman" w:eastAsia="Times New Roman" w:hAnsi="Times New Roman"/>
                <w:sz w:val="11"/>
                <w:szCs w:val="11"/>
                <w:b w:val="1"/>
                <w:bCs w:val="1"/>
                <w:color w:val="auto"/>
                <w:w w:val="98"/>
              </w:rPr>
              <w:t>Comprehensive</w:t>
            </w:r>
          </w:p>
        </w:tc>
        <w:tc>
          <w:tcPr>
            <w:tcW w:w="820" w:type="dxa"/>
            <w:vAlign w:val="bottom"/>
            <w:gridSpan w:val="3"/>
          </w:tcPr>
          <w:p>
            <w:pPr>
              <w:jc w:val="right"/>
              <w:ind w:right="259"/>
              <w:spacing w:after="0" w:line="122" w:lineRule="exact"/>
              <w:rPr>
                <w:sz w:val="20"/>
                <w:szCs w:val="20"/>
                <w:color w:val="auto"/>
              </w:rPr>
            </w:pPr>
            <w:r>
              <w:rPr>
                <w:rFonts w:ascii="Times New Roman" w:cs="Times New Roman" w:eastAsia="Times New Roman" w:hAnsi="Times New Roman"/>
                <w:sz w:val="11"/>
                <w:szCs w:val="11"/>
                <w:b w:val="1"/>
                <w:bCs w:val="1"/>
                <w:color w:val="auto"/>
              </w:rPr>
              <w:t>Retained</w:t>
            </w:r>
          </w:p>
        </w:tc>
        <w:tc>
          <w:tcPr>
            <w:tcW w:w="1040" w:type="dxa"/>
            <w:vAlign w:val="bottom"/>
            <w:gridSpan w:val="3"/>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Stockholders'</w:t>
            </w:r>
          </w:p>
        </w:tc>
        <w:tc>
          <w:tcPr>
            <w:tcW w:w="104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780" w:type="dxa"/>
            <w:vAlign w:val="bottom"/>
            <w:gridSpan w:val="3"/>
          </w:tcPr>
          <w:p>
            <w:pPr>
              <w:ind w:left="20"/>
              <w:spacing w:after="0" w:line="122" w:lineRule="exact"/>
              <w:rPr>
                <w:sz w:val="20"/>
                <w:szCs w:val="20"/>
                <w:color w:val="auto"/>
              </w:rPr>
            </w:pPr>
            <w:r>
              <w:rPr>
                <w:rFonts w:ascii="Times New Roman" w:cs="Times New Roman" w:eastAsia="Times New Roman" w:hAnsi="Times New Roman"/>
                <w:sz w:val="11"/>
                <w:szCs w:val="11"/>
                <w:b w:val="1"/>
                <w:bCs w:val="1"/>
                <w:color w:val="auto"/>
              </w:rPr>
              <w:t>Stockholders'</w:t>
            </w:r>
          </w:p>
        </w:tc>
      </w:tr>
      <w:tr>
        <w:trPr>
          <w:trHeight w:val="146"/>
        </w:trPr>
        <w:tc>
          <w:tcPr>
            <w:tcW w:w="3620" w:type="dxa"/>
            <w:vAlign w:val="bottom"/>
          </w:tcPr>
          <w:p>
            <w:pPr>
              <w:spacing w:after="0"/>
              <w:rPr>
                <w:sz w:val="12"/>
                <w:szCs w:val="12"/>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Outstanding</w:t>
            </w:r>
          </w:p>
        </w:tc>
        <w:tc>
          <w:tcPr>
            <w:tcW w:w="2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center"/>
              <w:ind w:right="21"/>
              <w:spacing w:after="0"/>
              <w:rPr>
                <w:sz w:val="20"/>
                <w:szCs w:val="20"/>
                <w:color w:val="auto"/>
              </w:rPr>
            </w:pPr>
            <w:r>
              <w:rPr>
                <w:rFonts w:ascii="Times New Roman" w:cs="Times New Roman" w:eastAsia="Times New Roman" w:hAnsi="Times New Roman"/>
                <w:sz w:val="11"/>
                <w:szCs w:val="11"/>
                <w:b w:val="1"/>
                <w:bCs w:val="1"/>
                <w:color w:val="auto"/>
                <w:w w:val="98"/>
              </w:rPr>
              <w:t>Stock</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jc w:val="center"/>
              <w:ind w:right="22"/>
              <w:spacing w:after="0"/>
              <w:rPr>
                <w:sz w:val="20"/>
                <w:szCs w:val="20"/>
                <w:color w:val="auto"/>
              </w:rPr>
            </w:pPr>
            <w:r>
              <w:rPr>
                <w:rFonts w:ascii="Times New Roman" w:cs="Times New Roman" w:eastAsia="Times New Roman" w:hAnsi="Times New Roman"/>
                <w:sz w:val="11"/>
                <w:szCs w:val="11"/>
                <w:b w:val="1"/>
                <w:bCs w:val="1"/>
                <w:color w:val="auto"/>
                <w:w w:val="97"/>
              </w:rPr>
              <w:t>Capital</w:t>
            </w:r>
          </w:p>
        </w:tc>
        <w:tc>
          <w:tcPr>
            <w:tcW w:w="2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center"/>
              <w:ind w:right="63"/>
              <w:spacing w:after="0"/>
              <w:rPr>
                <w:sz w:val="20"/>
                <w:szCs w:val="20"/>
                <w:color w:val="auto"/>
              </w:rPr>
            </w:pPr>
            <w:r>
              <w:rPr>
                <w:rFonts w:ascii="Times New Roman" w:cs="Times New Roman" w:eastAsia="Times New Roman" w:hAnsi="Times New Roman"/>
                <w:sz w:val="11"/>
                <w:szCs w:val="11"/>
                <w:b w:val="1"/>
                <w:bCs w:val="1"/>
                <w:color w:val="auto"/>
                <w:w w:val="93"/>
              </w:rPr>
              <w:t>Loss</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11"/>
                <w:szCs w:val="11"/>
                <w:b w:val="1"/>
                <w:bCs w:val="1"/>
                <w:color w:val="auto"/>
                <w:w w:val="96"/>
              </w:rPr>
              <w:t>Deficit</w:t>
            </w:r>
          </w:p>
        </w:tc>
        <w:tc>
          <w:tcPr>
            <w:tcW w:w="2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center"/>
              <w:ind w:right="62"/>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7"/>
              </w:rPr>
              <w:t>Interests</w:t>
            </w:r>
          </w:p>
        </w:tc>
        <w:tc>
          <w:tcPr>
            <w:tcW w:w="22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100" w:type="dxa"/>
            <w:vAlign w:val="bottom"/>
          </w:tcPr>
          <w:p>
            <w:pPr>
              <w:spacing w:after="0"/>
              <w:rPr>
                <w:sz w:val="12"/>
                <w:szCs w:val="12"/>
                <w:color w:val="auto"/>
              </w:rPr>
            </w:pPr>
          </w:p>
        </w:tc>
      </w:tr>
      <w:tr>
        <w:trPr>
          <w:trHeight w:val="247"/>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at December 31, 2022</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393</w:t>
            </w:r>
          </w:p>
        </w:tc>
        <w:tc>
          <w:tcPr>
            <w:tcW w:w="260" w:type="dxa"/>
            <w:vAlign w:val="bottom"/>
            <w:tcBorders>
              <w:right w:val="single" w:sz="8" w:color="CFF0FC"/>
            </w:tcBorders>
            <w:shd w:val="clear" w:color="auto" w:fill="CFF0FC"/>
          </w:tcPr>
          <w:p>
            <w:pPr>
              <w:spacing w:after="0"/>
              <w:rPr>
                <w:sz w:val="21"/>
                <w:szCs w:val="21"/>
                <w:color w:val="auto"/>
              </w:rPr>
            </w:pPr>
          </w:p>
        </w:tc>
        <w:tc>
          <w:tcPr>
            <w:tcW w:w="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8,754</w:t>
            </w:r>
          </w:p>
        </w:tc>
        <w:tc>
          <w:tcPr>
            <w:tcW w:w="240" w:type="dxa"/>
            <w:vAlign w:val="bottom"/>
            <w:tcBorders>
              <w:right w:val="single" w:sz="8" w:color="CFF0FC"/>
            </w:tcBorders>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tcBorders>
              <w:right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(1,593 )</w:t>
            </w:r>
          </w:p>
        </w:tc>
        <w:tc>
          <w:tcPr>
            <w:tcW w:w="820" w:type="dxa"/>
            <w:vAlign w:val="bottom"/>
            <w:tcBorders>
              <w:right w:val="single" w:sz="8" w:color="CFF0FC"/>
            </w:tcBorders>
            <w:gridSpan w:val="3"/>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w w:val="98"/>
              </w:rPr>
              <w:t>$ (2,069 )</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5,096</w:t>
            </w:r>
          </w:p>
        </w:tc>
        <w:tc>
          <w:tcPr>
            <w:tcW w:w="220" w:type="dxa"/>
            <w:vAlign w:val="bottom"/>
            <w:tcBorders>
              <w:right w:val="single" w:sz="8" w:color="CFF0FC"/>
            </w:tcBorders>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5,134</w:t>
            </w:r>
          </w:p>
        </w:tc>
        <w:tc>
          <w:tcPr>
            <w:tcW w:w="100" w:type="dxa"/>
            <w:vAlign w:val="bottom"/>
            <w:shd w:val="clear" w:color="auto" w:fill="CFF0FC"/>
          </w:tcPr>
          <w:p>
            <w:pPr>
              <w:spacing w:after="0"/>
              <w:rPr>
                <w:sz w:val="21"/>
                <w:szCs w:val="21"/>
                <w:color w:val="auto"/>
              </w:rPr>
            </w:pPr>
          </w:p>
        </w:tc>
      </w:tr>
      <w:tr>
        <w:trPr>
          <w:trHeight w:val="20"/>
        </w:trPr>
        <w:tc>
          <w:tcPr>
            <w:tcW w:w="362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56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6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50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5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20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7"/>
                <w:szCs w:val="17"/>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FF0FC"/>
          </w:tcPr>
          <w:p>
            <w:pPr>
              <w:spacing w:after="0"/>
              <w:rPr>
                <w:sz w:val="20"/>
                <w:szCs w:val="20"/>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interests</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FF0FC"/>
          </w:tcPr>
          <w:p>
            <w:pPr>
              <w:spacing w:after="0"/>
              <w:rPr>
                <w:sz w:val="20"/>
                <w:szCs w:val="20"/>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9"/>
                <w:szCs w:val="19"/>
                <w:color w:val="auto"/>
              </w:rPr>
            </w:pP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Common stock issued</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(1 )</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(17 )</w:t>
            </w:r>
          </w:p>
        </w:tc>
        <w:tc>
          <w:tcPr>
            <w:tcW w:w="100" w:type="dxa"/>
            <w:vAlign w:val="bottom"/>
          </w:tcPr>
          <w:p>
            <w:pPr>
              <w:spacing w:after="0"/>
              <w:rPr>
                <w:sz w:val="19"/>
                <w:szCs w:val="19"/>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(17 )</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(17 )</w:t>
            </w:r>
          </w:p>
        </w:tc>
      </w:tr>
      <w:tr>
        <w:trPr>
          <w:trHeight w:val="236"/>
        </w:trPr>
        <w:tc>
          <w:tcPr>
            <w:tcW w:w="36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March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8,756</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(1,554 )</w:t>
            </w:r>
          </w:p>
        </w:tc>
        <w:tc>
          <w:tcPr>
            <w:tcW w:w="82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color w:val="auto"/>
                <w:w w:val="98"/>
              </w:rPr>
              <w:t>$ (1,963 )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5,243</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5,308</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w:t>
            </w:r>
          </w:p>
        </w:tc>
        <w:tc>
          <w:tcPr>
            <w:tcW w:w="100" w:type="dxa"/>
            <w:vAlign w:val="bottom"/>
            <w:shd w:val="clear" w:color="auto" w:fill="CFF0FC"/>
          </w:tcPr>
          <w:p>
            <w:pPr>
              <w:spacing w:after="0"/>
              <w:rPr>
                <w:sz w:val="18"/>
                <w:szCs w:val="18"/>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net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tcPr>
          <w:p>
            <w:pPr>
              <w:spacing w:after="0"/>
              <w:rPr>
                <w:sz w:val="19"/>
                <w:szCs w:val="19"/>
                <w:color w:val="auto"/>
              </w:rPr>
            </w:pP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tcPr>
          <w:p>
            <w:pPr>
              <w:spacing w:after="0"/>
              <w:rPr>
                <w:sz w:val="19"/>
                <w:szCs w:val="19"/>
                <w:color w:val="auto"/>
              </w:rPr>
            </w:pPr>
          </w:p>
        </w:tc>
      </w:tr>
      <w:tr>
        <w:trPr>
          <w:trHeight w:val="236"/>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right w:val="single" w:sz="8" w:color="CFF0FC"/>
            </w:tcBorders>
            <w:shd w:val="clear" w:color="auto" w:fill="CFF0FC"/>
          </w:tcPr>
          <w:p>
            <w:pPr>
              <w:spacing w:after="0"/>
              <w:rPr>
                <w:sz w:val="20"/>
                <w:szCs w:val="20"/>
                <w:color w:val="auto"/>
              </w:rPr>
            </w:pPr>
          </w:p>
        </w:tc>
        <w:tc>
          <w:tcPr>
            <w:tcW w:w="80" w:type="dxa"/>
            <w:vAlign w:val="bottom"/>
            <w:shd w:val="clear" w:color="auto" w:fill="CFF0FC"/>
          </w:tcPr>
          <w:p>
            <w:pPr>
              <w:spacing w:after="0"/>
              <w:rPr>
                <w:sz w:val="20"/>
                <w:szCs w:val="20"/>
                <w:color w:val="auto"/>
              </w:rPr>
            </w:pPr>
          </w:p>
        </w:tc>
        <w:tc>
          <w:tcPr>
            <w:tcW w:w="5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86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(4 )</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(4 )</w:t>
            </w:r>
          </w:p>
        </w:tc>
      </w:tr>
      <w:tr>
        <w:trPr>
          <w:trHeight w:val="20"/>
        </w:trPr>
        <w:tc>
          <w:tcPr>
            <w:tcW w:w="3620" w:type="dxa"/>
            <w:vAlign w:val="bottom"/>
            <w:tcBorders>
              <w:right w:val="single" w:sz="8" w:color="CFF0FC"/>
            </w:tcBorders>
            <w:shd w:val="clear" w:color="auto" w:fill="CFF0FC"/>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60" w:type="dxa"/>
            <w:vAlign w:val="bottom"/>
            <w:tcBorders>
              <w:right w:val="single" w:sz="8" w:color="CFF0FC"/>
            </w:tcBorders>
            <w:shd w:val="clear" w:color="auto" w:fill="CFF0FC"/>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tcBorders>
              <w:right w:val="single" w:sz="8" w:color="auto"/>
            </w:tcBorders>
            <w:shd w:val="clear" w:color="auto" w:fill="000000"/>
          </w:tcPr>
          <w:p>
            <w:pPr>
              <w:spacing w:after="0" w:line="20" w:lineRule="exact"/>
              <w:rPr>
                <w:sz w:val="1"/>
                <w:szCs w:val="1"/>
                <w:color w:val="auto"/>
              </w:rPr>
            </w:pPr>
          </w:p>
        </w:tc>
        <w:tc>
          <w:tcPr>
            <w:tcW w:w="240" w:type="dxa"/>
            <w:vAlign w:val="bottom"/>
            <w:tcBorders>
              <w:right w:val="single" w:sz="8" w:color="CFF0FC"/>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00" w:type="dxa"/>
            <w:vAlign w:val="bottom"/>
            <w:tcBorders>
              <w:right w:val="single" w:sz="8" w:color="CFF0FC"/>
            </w:tcBorders>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Borders>
              <w:right w:val="single" w:sz="8" w:color="auto"/>
            </w:tcBorders>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June 30,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8,773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(1,515 )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(1,828 )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5,434</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5,497</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18"/>
                <w:szCs w:val="18"/>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10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18"/>
                <w:szCs w:val="18"/>
                <w:color w:val="auto"/>
              </w:rPr>
            </w:pPr>
          </w:p>
        </w:tc>
        <w:tc>
          <w:tcPr>
            <w:tcW w:w="5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Borders>
              <w:right w:val="single" w:sz="8" w:color="CFF0FC"/>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220" w:type="dxa"/>
            <w:vAlign w:val="bottom"/>
            <w:tcBorders>
              <w:right w:val="single" w:sz="8" w:color="CFF0FC"/>
            </w:tcBorders>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(6 )</w:t>
            </w:r>
          </w:p>
        </w:tc>
        <w:tc>
          <w:tcPr>
            <w:tcW w:w="140" w:type="dxa"/>
            <w:vAlign w:val="bottom"/>
            <w:shd w:val="clear" w:color="auto" w:fill="CFF0FC"/>
          </w:tcPr>
          <w:p>
            <w:pPr>
              <w:spacing w:after="0"/>
              <w:rPr>
                <w:sz w:val="18"/>
                <w:szCs w:val="18"/>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shd w:val="clear" w:color="auto" w:fill="CFF0FC"/>
          </w:tcPr>
          <w:p>
            <w:pPr>
              <w:spacing w:after="0"/>
              <w:rPr>
                <w:sz w:val="18"/>
                <w:szCs w:val="18"/>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loss, net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(29 )</w:t>
            </w:r>
          </w:p>
        </w:tc>
        <w:tc>
          <w:tcPr>
            <w:tcW w:w="100" w:type="dxa"/>
            <w:vAlign w:val="bottom"/>
          </w:tcPr>
          <w:p>
            <w:pPr>
              <w:spacing w:after="0"/>
              <w:rPr>
                <w:sz w:val="19"/>
                <w:szCs w:val="19"/>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(29 )</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(29 )</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Cash dividends, $0.05 per common share</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8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99"/>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shd w:val="clear" w:color="auto" w:fill="CFF0FC"/>
          </w:tcPr>
          <w:p>
            <w:pPr>
              <w:spacing w:after="0"/>
              <w:rPr>
                <w:sz w:val="20"/>
                <w:szCs w:val="20"/>
                <w:color w:val="auto"/>
              </w:rPr>
            </w:pPr>
          </w:p>
        </w:tc>
        <w:tc>
          <w:tcPr>
            <w:tcW w:w="940" w:type="dxa"/>
            <w:vAlign w:val="bottom"/>
            <w:tcBorders>
              <w:right w:val="single" w:sz="8" w:color="CFF0FC"/>
            </w:tcBorders>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6"/>
                <w:szCs w:val="16"/>
                <w:color w:val="auto"/>
              </w:rPr>
              <w:t>(20 )</w:t>
            </w: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6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6"/>
                <w:szCs w:val="16"/>
                <w:color w:val="auto"/>
              </w:rPr>
              <w:t>(20 )</w:t>
            </w: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Transactions with non-controlling interest</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(13 )</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(12 )</w:t>
            </w:r>
          </w:p>
        </w:tc>
      </w:tr>
      <w:tr>
        <w:trPr>
          <w:trHeight w:val="239"/>
        </w:trPr>
        <w:tc>
          <w:tcPr>
            <w:tcW w:w="3620" w:type="dxa"/>
            <w:vAlign w:val="bottom"/>
            <w:tcBorders>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94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shd w:val="clear" w:color="auto" w:fill="CFF0FC"/>
          </w:tcPr>
          <w:p>
            <w:pPr>
              <w:spacing w:after="0"/>
              <w:rPr>
                <w:sz w:val="20"/>
                <w:szCs w:val="20"/>
                <w:color w:val="auto"/>
              </w:rPr>
            </w:pPr>
          </w:p>
        </w:tc>
        <w:tc>
          <w:tcPr>
            <w:tcW w:w="800" w:type="dxa"/>
            <w:vAlign w:val="bottom"/>
            <w:tcBorders>
              <w:right w:val="single" w:sz="8" w:color="CFF0FC"/>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60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40" w:type="dxa"/>
            <w:vAlign w:val="bottom"/>
            <w:tcBorders>
              <w:right w:val="single" w:sz="8" w:color="CFF0FC"/>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8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tcBorders>
              <w:right w:val="single" w:sz="8" w:color="CFF0FC"/>
            </w:tcBorders>
            <w:gridSpan w:val="2"/>
            <w:shd w:val="clear" w:color="auto" w:fill="CFF0FC"/>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FF0FC"/>
          </w:tcPr>
          <w:p>
            <w:pPr>
              <w:spacing w:after="0"/>
              <w:rPr>
                <w:sz w:val="20"/>
                <w:szCs w:val="20"/>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220" w:type="dxa"/>
            <w:vAlign w:val="bottom"/>
            <w:tcBorders>
              <w:right w:val="single" w:sz="8" w:color="CFF0FC"/>
            </w:tcBorders>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0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20"/>
                <w:szCs w:val="20"/>
                <w:color w:val="auto"/>
              </w:rPr>
            </w:pPr>
          </w:p>
        </w:tc>
        <w:tc>
          <w:tcPr>
            <w:tcW w:w="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FF0FC"/>
          </w:tcPr>
          <w:p>
            <w:pPr>
              <w:spacing w:after="0"/>
              <w:rPr>
                <w:sz w:val="20"/>
                <w:szCs w:val="20"/>
                <w:color w:val="auto"/>
              </w:rPr>
            </w:pPr>
          </w:p>
        </w:tc>
      </w:tr>
      <w:tr>
        <w:trPr>
          <w:trHeight w:val="220"/>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Withholding taxes</w:t>
            </w: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9"/>
                <w:szCs w:val="19"/>
                <w:color w:val="auto"/>
              </w:rPr>
            </w:pPr>
          </w:p>
        </w:tc>
        <w:tc>
          <w:tcPr>
            <w:tcW w:w="80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Pr>
          <w:p>
            <w:pPr>
              <w:spacing w:after="0"/>
              <w:rPr>
                <w:sz w:val="19"/>
                <w:szCs w:val="19"/>
                <w:color w:val="auto"/>
              </w:rPr>
            </w:pPr>
          </w:p>
        </w:tc>
        <w:tc>
          <w:tcPr>
            <w:tcW w:w="108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720" w:type="dxa"/>
            <w:vAlign w:val="bottom"/>
            <w:gridSpan w:val="2"/>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9"/>
                <w:szCs w:val="19"/>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(1 )</w:t>
            </w:r>
          </w:p>
        </w:tc>
        <w:tc>
          <w:tcPr>
            <w:tcW w:w="14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6"/>
                <w:szCs w:val="16"/>
                <w:color w:val="auto"/>
              </w:rPr>
              <w:t>(1 )</w:t>
            </w:r>
          </w:p>
        </w:tc>
      </w:tr>
      <w:tr>
        <w:trPr>
          <w:trHeight w:val="236"/>
        </w:trPr>
        <w:tc>
          <w:tcPr>
            <w:tcW w:w="3620" w:type="dxa"/>
            <w:vAlign w:val="bottom"/>
            <w:tcBorders>
              <w:bottom w:val="single" w:sz="8" w:color="CFF0FC"/>
              <w:right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Borders>
              <w:bottom w:val="single" w:sz="8" w:color="CFF0FC"/>
              <w:right w:val="single" w:sz="8" w:color="CFF0FC"/>
            </w:tcBorders>
            <w:shd w:val="clear" w:color="auto" w:fill="CFF0FC"/>
          </w:tcPr>
          <w:p>
            <w:pPr>
              <w:spacing w:after="0"/>
              <w:rPr>
                <w:sz w:val="20"/>
                <w:szCs w:val="20"/>
                <w:color w:val="auto"/>
              </w:rPr>
            </w:pPr>
          </w:p>
        </w:tc>
        <w:tc>
          <w:tcPr>
            <w:tcW w:w="80" w:type="dxa"/>
            <w:vAlign w:val="bottom"/>
            <w:tcBorders>
              <w:bottom w:val="single" w:sz="8" w:color="auto"/>
            </w:tcBorders>
            <w:shd w:val="clear" w:color="auto" w:fill="CFF0FC"/>
          </w:tcPr>
          <w:p>
            <w:pPr>
              <w:spacing w:after="0"/>
              <w:rPr>
                <w:sz w:val="20"/>
                <w:szCs w:val="20"/>
                <w:color w:val="auto"/>
              </w:rPr>
            </w:pPr>
          </w:p>
        </w:tc>
        <w:tc>
          <w:tcPr>
            <w:tcW w:w="5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5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00" w:type="dxa"/>
            <w:vAlign w:val="bottom"/>
            <w:tcBorders>
              <w:bottom w:val="single" w:sz="8" w:color="auto"/>
            </w:tcBorders>
            <w:shd w:val="clear" w:color="auto" w:fill="CFF0FC"/>
          </w:tcPr>
          <w:p>
            <w:pPr>
              <w:spacing w:after="0"/>
              <w:rPr>
                <w:sz w:val="20"/>
                <w:szCs w:val="20"/>
                <w:color w:val="auto"/>
              </w:rPr>
            </w:pP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220" w:type="dxa"/>
            <w:vAlign w:val="bottom"/>
            <w:tcBorders>
              <w:bottom w:val="single" w:sz="8" w:color="CFF0FC"/>
              <w:right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22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bottom w:val="single" w:sz="8" w:color="auto"/>
            </w:tcBorders>
            <w:shd w:val="clear" w:color="auto" w:fill="CFF0FC"/>
          </w:tcPr>
          <w:p>
            <w:pPr>
              <w:spacing w:after="0"/>
              <w:rPr>
                <w:sz w:val="20"/>
                <w:szCs w:val="20"/>
                <w:color w:val="auto"/>
              </w:rPr>
            </w:pPr>
          </w:p>
        </w:tc>
        <w:tc>
          <w:tcPr>
            <w:tcW w:w="5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FF0FC"/>
            </w:tcBorders>
            <w:shd w:val="clear" w:color="auto" w:fill="CFF0FC"/>
          </w:tcPr>
          <w:p>
            <w:pPr>
              <w:spacing w:after="0"/>
              <w:rPr>
                <w:sz w:val="20"/>
                <w:szCs w:val="20"/>
                <w:color w:val="auto"/>
              </w:rPr>
            </w:pPr>
          </w:p>
        </w:tc>
      </w:tr>
      <w:tr>
        <w:trPr>
          <w:trHeight w:val="226"/>
        </w:trPr>
        <w:tc>
          <w:tcPr>
            <w:tcW w:w="3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Balance at September 30,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8,793</w:t>
            </w:r>
          </w:p>
        </w:tc>
        <w:tc>
          <w:tcPr>
            <w:tcW w:w="24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(1,542 )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color w:val="auto"/>
              </w:rPr>
              <w:t>(1,734 )</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5,521</w:t>
            </w:r>
          </w:p>
        </w:tc>
        <w:tc>
          <w:tcPr>
            <w:tcW w:w="2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220" w:type="dxa"/>
            <w:vAlign w:val="bottom"/>
          </w:tcPr>
          <w:p>
            <w:pPr>
              <w:spacing w:after="0"/>
              <w:rPr>
                <w:sz w:val="19"/>
                <w:szCs w:val="19"/>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5,567</w:t>
            </w:r>
          </w:p>
        </w:tc>
        <w:tc>
          <w:tcPr>
            <w:tcW w:w="100" w:type="dxa"/>
            <w:vAlign w:val="bottom"/>
          </w:tcPr>
          <w:p>
            <w:pPr>
              <w:spacing w:after="0"/>
              <w:rPr>
                <w:sz w:val="19"/>
                <w:szCs w:val="19"/>
                <w:color w:val="auto"/>
              </w:rPr>
            </w:pPr>
          </w:p>
        </w:tc>
      </w:tr>
      <w:tr>
        <w:trPr>
          <w:trHeight w:val="20"/>
        </w:trPr>
        <w:tc>
          <w:tcPr>
            <w:tcW w:w="362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2727960</wp:posOffset>
            </wp:positionH>
            <wp:positionV relativeFrom="paragraph">
              <wp:posOffset>-6369685</wp:posOffset>
            </wp:positionV>
            <wp:extent cx="7683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-6352540</wp:posOffset>
            </wp:positionV>
            <wp:extent cx="76835"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-6369685</wp:posOffset>
            </wp:positionV>
            <wp:extent cx="7683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-6352540</wp:posOffset>
            </wp:positionV>
            <wp:extent cx="7683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-6369685</wp:posOffset>
            </wp:positionV>
            <wp:extent cx="7683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-6352540</wp:posOffset>
            </wp:positionV>
            <wp:extent cx="7683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-6369685</wp:posOffset>
            </wp:positionV>
            <wp:extent cx="6858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-6352540</wp:posOffset>
            </wp:positionV>
            <wp:extent cx="6858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-6369685</wp:posOffset>
            </wp:positionV>
            <wp:extent cx="6858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-6352540</wp:posOffset>
            </wp:positionV>
            <wp:extent cx="6858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-6369685</wp:posOffset>
            </wp:positionV>
            <wp:extent cx="6858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-6352540</wp:posOffset>
            </wp:positionV>
            <wp:extent cx="6858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-6369685</wp:posOffset>
            </wp:positionV>
            <wp:extent cx="6858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-6352540</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-6369685</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-6352540</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-5170805</wp:posOffset>
            </wp:positionV>
            <wp:extent cx="7683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2727960</wp:posOffset>
            </wp:positionH>
            <wp:positionV relativeFrom="paragraph">
              <wp:posOffset>-5153660</wp:posOffset>
            </wp:positionV>
            <wp:extent cx="7683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-5170805</wp:posOffset>
            </wp:positionV>
            <wp:extent cx="7683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3293110</wp:posOffset>
            </wp:positionH>
            <wp:positionV relativeFrom="paragraph">
              <wp:posOffset>-5153660</wp:posOffset>
            </wp:positionV>
            <wp:extent cx="7683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-5170805</wp:posOffset>
            </wp:positionV>
            <wp:extent cx="7683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3883660</wp:posOffset>
            </wp:positionH>
            <wp:positionV relativeFrom="paragraph">
              <wp:posOffset>-5153660</wp:posOffset>
            </wp:positionV>
            <wp:extent cx="7683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-5170805</wp:posOffset>
            </wp:positionV>
            <wp:extent cx="6858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4662805</wp:posOffset>
            </wp:positionH>
            <wp:positionV relativeFrom="paragraph">
              <wp:posOffset>-5153660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-5170805</wp:posOffset>
            </wp:positionV>
            <wp:extent cx="6858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5185410</wp:posOffset>
            </wp:positionH>
            <wp:positionV relativeFrom="paragraph">
              <wp:posOffset>-5153660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-5170805</wp:posOffset>
            </wp:positionV>
            <wp:extent cx="6858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5844540</wp:posOffset>
            </wp:positionH>
            <wp:positionV relativeFrom="paragraph">
              <wp:posOffset>-5153660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-5170805</wp:posOffset>
            </wp:positionV>
            <wp:extent cx="6858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-5153660</wp:posOffset>
            </wp:positionV>
            <wp:extent cx="6858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-5170805</wp:posOffset>
            </wp:positionV>
            <wp:extent cx="6858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-5153660</wp:posOffset>
            </wp:positionV>
            <wp:extent cx="6858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-3475990</wp:posOffset>
            </wp:positionV>
            <wp:extent cx="7683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-3458845</wp:posOffset>
            </wp:positionV>
            <wp:extent cx="7683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-3475990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-3458845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-3475990</wp:posOffset>
            </wp:positionV>
            <wp:extent cx="7683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-3458845</wp:posOffset>
            </wp:positionV>
            <wp:extent cx="7683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-3475990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-3458845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-3475990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-3458845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-3475990</wp:posOffset>
            </wp:positionV>
            <wp:extent cx="685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-3458845</wp:posOffset>
            </wp:positionV>
            <wp:extent cx="685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-3475990</wp:posOffset>
            </wp:positionV>
            <wp:extent cx="685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-3458845</wp:posOffset>
            </wp:positionV>
            <wp:extent cx="6858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-3475990</wp:posOffset>
            </wp:positionV>
            <wp:extent cx="685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-3458845</wp:posOffset>
            </wp:positionV>
            <wp:extent cx="6858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-2285365</wp:posOffset>
            </wp:positionV>
            <wp:extent cx="7683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-2285365</wp:posOffset>
            </wp:positionV>
            <wp:extent cx="7683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-2285365</wp:posOffset>
            </wp:positionV>
            <wp:extent cx="7683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-2285365</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-2285365</wp:posOffset>
            </wp:positionV>
            <wp:extent cx="6858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-2285365</wp:posOffset>
            </wp:positionV>
            <wp:extent cx="6858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-2285365</wp:posOffset>
            </wp:positionV>
            <wp:extent cx="6858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-2285365</wp:posOffset>
            </wp:positionV>
            <wp:extent cx="6858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-1377950</wp:posOffset>
            </wp:positionV>
            <wp:extent cx="7683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-1377950</wp:posOffset>
            </wp:positionV>
            <wp:extent cx="7683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-1377950</wp:posOffset>
            </wp:positionV>
            <wp:extent cx="7683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-1377950</wp:posOffset>
            </wp:positionV>
            <wp:extent cx="6858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-1377950</wp:posOffset>
            </wp:positionV>
            <wp:extent cx="6858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-1377950</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-1377950</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-1377950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2736215</wp:posOffset>
            </wp:positionH>
            <wp:positionV relativeFrom="paragraph">
              <wp:posOffset>-179070</wp:posOffset>
            </wp:positionV>
            <wp:extent cx="7683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3301365</wp:posOffset>
            </wp:positionH>
            <wp:positionV relativeFrom="paragraph">
              <wp:posOffset>-179070</wp:posOffset>
            </wp:positionV>
            <wp:extent cx="7683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3892550</wp:posOffset>
            </wp:positionH>
            <wp:positionV relativeFrom="paragraph">
              <wp:posOffset>-179070</wp:posOffset>
            </wp:positionV>
            <wp:extent cx="7683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4645660</wp:posOffset>
            </wp:positionH>
            <wp:positionV relativeFrom="paragraph">
              <wp:posOffset>-179070</wp:posOffset>
            </wp:positionV>
            <wp:extent cx="685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5168265</wp:posOffset>
            </wp:positionH>
            <wp:positionV relativeFrom="paragraph">
              <wp:posOffset>-179070</wp:posOffset>
            </wp:positionV>
            <wp:extent cx="6858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5836285</wp:posOffset>
            </wp:positionH>
            <wp:positionV relativeFrom="paragraph">
              <wp:posOffset>-179070</wp:posOffset>
            </wp:positionV>
            <wp:extent cx="6858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6503670</wp:posOffset>
            </wp:positionH>
            <wp:positionV relativeFrom="paragraph">
              <wp:posOffset>-179070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notes to unaudited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762"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NOV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(Unaudited)</w:t>
      </w:r>
    </w:p>
    <w:p>
      <w:pPr>
        <w:spacing w:after="0" w:line="229" w:lineRule="exact"/>
        <w:rPr>
          <w:sz w:val="20"/>
          <w:szCs w:val="20"/>
          <w:color w:val="auto"/>
        </w:rPr>
      </w:pPr>
    </w:p>
    <w:p>
      <w:pPr>
        <w:ind w:left="360" w:hanging="352"/>
        <w:spacing w:after="0"/>
        <w:tabs>
          <w:tab w:leader="none" w:pos="36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accompanying unaudited consolidated financial statements of NOV Inc. (“NOV” or the “Company”) present information in accordance with generally accepted accounting principles in the United States (“GAAP”) for interim financial information and the instructions to Form 10-Q and applicable rules of Regulation S-X. They do not include all information or footnotes required by GAAP for complete consolidated financial statements and should be read in conjunction with the audited consolidated financial statements and footnotes included in the Company’s 2023 Annual Report on Form 10-K. Certain reclassifications have been made to prior period financial information in order to conform with current period presentation.</w:t>
      </w:r>
    </w:p>
    <w:p>
      <w:pPr>
        <w:spacing w:after="0" w:line="182"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our opinion, the consolidated financial statements include all adjustments, which are of a normal recurring nature unless otherwise disclosed, necessary for a fair presentation of the results for the interim periods. The results of operations for the three and nine months ended September 30, 2024 are not necessarily indicative of the results to be expected for the full year.</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reported and contingent amounts of assets and liabilities as of the date of the financial statements and reported amounts of revenues and expenses during the reporting period. Actual results could differ from those estimates.</w:t>
      </w:r>
    </w:p>
    <w:p>
      <w:pPr>
        <w:spacing w:after="0" w:line="17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fair values of cash and cash equivalents, receivables and payables were approximately the same as their presented carrying values because of the short maturities of these instruments. The fair value of long-term debt is provided in Note 9, and the fair values of derivative financial instruments are provided in Note 12.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2.   Inventories, net</w:t>
            </w: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324"/>
        </w:trPr>
        <w:tc>
          <w:tcPr>
            <w:tcW w:w="71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Inventories consist of (in millions):</w:t>
            </w: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272"/>
        </w:trPr>
        <w:tc>
          <w:tcPr>
            <w:tcW w:w="1700" w:type="dxa"/>
            <w:vAlign w:val="bottom"/>
          </w:tcPr>
          <w:p>
            <w:pPr>
              <w:spacing w:after="0"/>
              <w:rPr>
                <w:sz w:val="23"/>
                <w:szCs w:val="23"/>
                <w:color w:val="auto"/>
              </w:rPr>
            </w:pPr>
          </w:p>
        </w:tc>
        <w:tc>
          <w:tcPr>
            <w:tcW w:w="5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 w:type="dxa"/>
            <w:vAlign w:val="bottom"/>
          </w:tcPr>
          <w:p>
            <w:pPr>
              <w:spacing w:after="0"/>
              <w:rPr>
                <w:sz w:val="23"/>
                <w:szCs w:val="23"/>
                <w:color w:val="auto"/>
              </w:rPr>
            </w:pPr>
          </w:p>
        </w:tc>
        <w:tc>
          <w:tcPr>
            <w:tcW w:w="10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1700" w:type="dxa"/>
            <w:vAlign w:val="bottom"/>
          </w:tcPr>
          <w:p>
            <w:pPr>
              <w:spacing w:after="0"/>
              <w:rPr>
                <w:sz w:val="16"/>
                <w:szCs w:val="16"/>
                <w:color w:val="auto"/>
              </w:rPr>
            </w:pPr>
          </w:p>
        </w:tc>
        <w:tc>
          <w:tcPr>
            <w:tcW w:w="540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r>
      <w:tr>
        <w:trPr>
          <w:trHeight w:val="236"/>
        </w:trPr>
        <w:tc>
          <w:tcPr>
            <w:tcW w:w="1700" w:type="dxa"/>
            <w:vAlign w:val="bottom"/>
          </w:tcPr>
          <w:p>
            <w:pPr>
              <w:spacing w:after="0"/>
              <w:rPr>
                <w:sz w:val="20"/>
                <w:szCs w:val="20"/>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Raw materials and supplies</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430</w:t>
            </w:r>
          </w:p>
        </w:tc>
        <w:tc>
          <w:tcPr>
            <w:tcW w:w="200" w:type="dxa"/>
            <w:vAlign w:val="bottom"/>
            <w:shd w:val="clear" w:color="auto" w:fill="CFF0FC"/>
          </w:tcPr>
          <w:p>
            <w:pPr>
              <w:spacing w:after="0"/>
              <w:rPr>
                <w:sz w:val="20"/>
                <w:szCs w:val="20"/>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479</w:t>
            </w:r>
          </w:p>
        </w:tc>
        <w:tc>
          <w:tcPr>
            <w:tcW w:w="80" w:type="dxa"/>
            <w:vAlign w:val="bottom"/>
            <w:shd w:val="clear" w:color="auto" w:fill="CFF0FC"/>
          </w:tcPr>
          <w:p>
            <w:pPr>
              <w:spacing w:after="0"/>
              <w:rPr>
                <w:sz w:val="20"/>
                <w:szCs w:val="20"/>
                <w:color w:val="auto"/>
              </w:rPr>
            </w:pPr>
          </w:p>
        </w:tc>
      </w:tr>
      <w:tr>
        <w:trPr>
          <w:trHeight w:val="238"/>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r>
              <w:rPr>
                <w:rFonts w:ascii="Times New Roman" w:cs="Times New Roman" w:eastAsia="Times New Roman" w:hAnsi="Times New Roman"/>
                <w:sz w:val="18"/>
                <w:szCs w:val="18"/>
                <w:color w:val="auto"/>
              </w:rPr>
              <w:t>Work in process</w:t>
            </w: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80" w:type="dxa"/>
            <w:vAlign w:val="bottom"/>
          </w:tcPr>
          <w:p>
            <w:pPr>
              <w:spacing w:after="0"/>
              <w:rPr>
                <w:sz w:val="20"/>
                <w:szCs w:val="20"/>
                <w:color w:val="auto"/>
              </w:rPr>
            </w:pPr>
          </w:p>
        </w:tc>
      </w:tr>
      <w:tr>
        <w:trPr>
          <w:trHeight w:val="243"/>
        </w:trPr>
        <w:tc>
          <w:tcPr>
            <w:tcW w:w="1700" w:type="dxa"/>
            <w:vAlign w:val="bottom"/>
          </w:tcPr>
          <w:p>
            <w:pPr>
              <w:spacing w:after="0"/>
              <w:rPr>
                <w:sz w:val="21"/>
                <w:szCs w:val="21"/>
                <w:color w:val="auto"/>
              </w:rPr>
            </w:pPr>
          </w:p>
        </w:tc>
        <w:tc>
          <w:tcPr>
            <w:tcW w:w="540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Finished goods and purchased products</w:t>
            </w: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1,763</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1,796</w:t>
            </w:r>
          </w:p>
        </w:tc>
        <w:tc>
          <w:tcPr>
            <w:tcW w:w="80" w:type="dxa"/>
            <w:vAlign w:val="bottom"/>
            <w:tcBorders>
              <w:bottom w:val="single" w:sz="8" w:color="CFF0FC"/>
            </w:tcBorders>
            <w:shd w:val="clear" w:color="auto" w:fill="CFF0FC"/>
          </w:tcPr>
          <w:p>
            <w:pPr>
              <w:spacing w:after="0"/>
              <w:rPr>
                <w:sz w:val="21"/>
                <w:szCs w:val="21"/>
                <w:color w:val="auto"/>
              </w:rPr>
            </w:pPr>
          </w:p>
        </w:tc>
      </w:tr>
      <w:tr>
        <w:trPr>
          <w:trHeight w:val="232"/>
        </w:trPr>
        <w:tc>
          <w:tcPr>
            <w:tcW w:w="1700" w:type="dxa"/>
            <w:vAlign w:val="bottom"/>
          </w:tcPr>
          <w:p>
            <w:pPr>
              <w:spacing w:after="0"/>
              <w:rPr>
                <w:sz w:val="20"/>
                <w:szCs w:val="20"/>
                <w:color w:val="auto"/>
              </w:rPr>
            </w:pPr>
          </w:p>
        </w:tc>
        <w:tc>
          <w:tcPr>
            <w:tcW w:w="5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2,427</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80" w:type="dxa"/>
            <w:vAlign w:val="bottom"/>
          </w:tcPr>
          <w:p>
            <w:pPr>
              <w:spacing w:after="0"/>
              <w:rPr>
                <w:sz w:val="20"/>
                <w:szCs w:val="20"/>
                <w:color w:val="auto"/>
              </w:rPr>
            </w:pPr>
          </w:p>
        </w:tc>
      </w:tr>
      <w:tr>
        <w:trPr>
          <w:trHeight w:val="247"/>
        </w:trPr>
        <w:tc>
          <w:tcPr>
            <w:tcW w:w="1700" w:type="dxa"/>
            <w:vAlign w:val="bottom"/>
          </w:tcPr>
          <w:p>
            <w:pPr>
              <w:spacing w:after="0"/>
              <w:rPr>
                <w:sz w:val="21"/>
                <w:szCs w:val="21"/>
                <w:color w:val="auto"/>
              </w:rPr>
            </w:pPr>
          </w:p>
        </w:tc>
        <w:tc>
          <w:tcPr>
            <w:tcW w:w="54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Less: Inventory reserve</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(304 )</w:t>
            </w:r>
          </w:p>
        </w:tc>
        <w:tc>
          <w:tcPr>
            <w:tcW w:w="12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(354 )</w:t>
            </w:r>
          </w:p>
        </w:tc>
      </w:tr>
      <w:tr>
        <w:trPr>
          <w:trHeight w:val="236"/>
        </w:trPr>
        <w:tc>
          <w:tcPr>
            <w:tcW w:w="1700" w:type="dxa"/>
            <w:vAlign w:val="bottom"/>
          </w:tcPr>
          <w:p>
            <w:pPr>
              <w:spacing w:after="0"/>
              <w:rPr>
                <w:sz w:val="20"/>
                <w:szCs w:val="20"/>
                <w:color w:val="auto"/>
              </w:rPr>
            </w:pPr>
          </w:p>
        </w:tc>
        <w:tc>
          <w:tcPr>
            <w:tcW w:w="5400" w:type="dxa"/>
            <w:vAlign w:val="bottom"/>
            <w:tcBorders>
              <w:top w:val="single" w:sz="8" w:color="CFF0FC"/>
            </w:tcBorders>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2,123</w:t>
            </w:r>
          </w:p>
        </w:tc>
        <w:tc>
          <w:tcPr>
            <w:tcW w:w="200" w:type="dxa"/>
            <w:vAlign w:val="bottom"/>
            <w:tcBorders>
              <w:top w:val="single" w:sz="8" w:color="CFF0FC"/>
            </w:tcBorders>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2,151</w:t>
            </w:r>
          </w:p>
        </w:tc>
        <w:tc>
          <w:tcPr>
            <w:tcW w:w="80" w:type="dxa"/>
            <w:vAlign w:val="bottom"/>
            <w:tcBorders>
              <w:top w:val="single" w:sz="8" w:color="CFF0FC"/>
            </w:tcBorders>
          </w:tcPr>
          <w:p>
            <w:pPr>
              <w:spacing w:after="0"/>
              <w:rPr>
                <w:sz w:val="20"/>
                <w:szCs w:val="20"/>
                <w:color w:val="auto"/>
              </w:rPr>
            </w:pPr>
          </w:p>
        </w:tc>
      </w:tr>
      <w:tr>
        <w:trPr>
          <w:trHeight w:val="20"/>
        </w:trPr>
        <w:tc>
          <w:tcPr>
            <w:tcW w:w="1700" w:type="dxa"/>
            <w:vAlign w:val="bottom"/>
          </w:tcPr>
          <w:p>
            <w:pPr>
              <w:spacing w:after="0" w:line="20" w:lineRule="exact"/>
              <w:rPr>
                <w:sz w:val="1"/>
                <w:szCs w:val="1"/>
                <w:color w:val="auto"/>
              </w:rPr>
            </w:pPr>
          </w:p>
        </w:tc>
        <w:tc>
          <w:tcPr>
            <w:tcW w:w="54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-504825</wp:posOffset>
            </wp:positionV>
            <wp:extent cx="5143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-504825</wp:posOffset>
            </wp:positionV>
            <wp:extent cx="4254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-187960</wp:posOffset>
            </wp:positionV>
            <wp:extent cx="5143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-187960</wp:posOffset>
            </wp:positionV>
            <wp:extent cx="4254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2545" cy="8255"/>
                    </a:xfrm>
                    <a:prstGeom prst="rect">
                      <a:avLst/>
                    </a:prstGeom>
                    <a:noFill/>
                  </pic:spPr>
                </pic:pic>
              </a:graphicData>
            </a:graphic>
          </wp:anchor>
        </w:drawing>
      </w:r>
    </w:p>
    <w:p>
      <w:pPr>
        <w:spacing w:after="0" w:line="20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3.</w:t>
        <w:tab/>
        <w:t>Accrued Liabilities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liabilities consist of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70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1700" w:type="dxa"/>
            <w:vAlign w:val="bottom"/>
          </w:tcPr>
          <w:p>
            <w:pPr>
              <w:spacing w:after="0"/>
              <w:rPr>
                <w:sz w:val="16"/>
                <w:szCs w:val="16"/>
                <w:color w:val="auto"/>
              </w:rPr>
            </w:pPr>
          </w:p>
        </w:tc>
        <w:tc>
          <w:tcPr>
            <w:tcW w:w="28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1700" w:type="dxa"/>
            <w:vAlign w:val="bottom"/>
          </w:tcPr>
          <w:p>
            <w:pPr>
              <w:spacing w:after="0"/>
              <w:rPr>
                <w:sz w:val="20"/>
                <w:szCs w:val="20"/>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Compensation</w:t>
            </w:r>
          </w:p>
        </w:tc>
        <w:tc>
          <w:tcPr>
            <w:tcW w:w="26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229</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80" w:type="dxa"/>
            <w:vAlign w:val="bottom"/>
            <w:shd w:val="clear" w:color="auto" w:fill="CFF0FC"/>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Vendor costs</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133</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Taxes (non-income)</w:t>
            </w:r>
          </w:p>
        </w:tc>
        <w:tc>
          <w:tcPr>
            <w:tcW w:w="2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Warranties</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Insurance</w:t>
            </w:r>
          </w:p>
        </w:tc>
        <w:tc>
          <w:tcPr>
            <w:tcW w:w="2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Interest</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1700" w:type="dxa"/>
            <w:vAlign w:val="bottom"/>
          </w:tcPr>
          <w:p>
            <w:pPr>
              <w:spacing w:after="0"/>
              <w:rPr>
                <w:sz w:val="21"/>
                <w:szCs w:val="21"/>
                <w:color w:val="auto"/>
              </w:rPr>
            </w:pPr>
          </w:p>
        </w:tc>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Commissions</w:t>
            </w:r>
          </w:p>
        </w:tc>
        <w:tc>
          <w:tcPr>
            <w:tcW w:w="25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0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80" w:type="dxa"/>
            <w:vAlign w:val="bottom"/>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1700" w:type="dxa"/>
            <w:vAlign w:val="bottom"/>
          </w:tcPr>
          <w:p>
            <w:pPr>
              <w:spacing w:after="0"/>
              <w:rPr>
                <w:sz w:val="20"/>
                <w:szCs w:val="20"/>
                <w:color w:val="auto"/>
              </w:rPr>
            </w:pPr>
          </w:p>
        </w:tc>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Fair value of derivatives</w:t>
            </w:r>
          </w:p>
        </w:tc>
        <w:tc>
          <w:tcPr>
            <w:tcW w:w="2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1700" w:type="dxa"/>
            <w:vAlign w:val="bottom"/>
          </w:tcPr>
          <w:p>
            <w:pPr>
              <w:spacing w:after="0"/>
              <w:rPr>
                <w:sz w:val="21"/>
                <w:szCs w:val="21"/>
                <w:color w:val="auto"/>
              </w:rPr>
            </w:pPr>
          </w:p>
        </w:tc>
        <w:tc>
          <w:tcPr>
            <w:tcW w:w="282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w:t>
            </w:r>
          </w:p>
        </w:tc>
        <w:tc>
          <w:tcPr>
            <w:tcW w:w="2580" w:type="dxa"/>
            <w:vAlign w:val="bottom"/>
            <w:tcBorders>
              <w:bottom w:val="single" w:sz="8" w:color="CFF0FC"/>
            </w:tcBorders>
            <w:shd w:val="clear" w:color="auto" w:fill="CFF0FC"/>
          </w:tcPr>
          <w:p>
            <w:pPr>
              <w:spacing w:after="0"/>
              <w:rPr>
                <w:sz w:val="21"/>
                <w:szCs w:val="21"/>
                <w:color w:val="auto"/>
              </w:rPr>
            </w:pPr>
          </w:p>
        </w:tc>
        <w:tc>
          <w:tcPr>
            <w:tcW w:w="100" w:type="dxa"/>
            <w:vAlign w:val="bottom"/>
            <w:tcBorders>
              <w:bottom w:val="single" w:sz="8" w:color="auto"/>
            </w:tcBorders>
            <w:shd w:val="clear" w:color="auto" w:fill="CFF0FC"/>
          </w:tcPr>
          <w:p>
            <w:pPr>
              <w:spacing w:after="0"/>
              <w:rPr>
                <w:sz w:val="21"/>
                <w:szCs w:val="21"/>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200" w:type="dxa"/>
            <w:vAlign w:val="bottom"/>
            <w:tcBorders>
              <w:bottom w:val="single" w:sz="8" w:color="CFF0FC"/>
            </w:tcBorders>
            <w:shd w:val="clear" w:color="auto" w:fill="CFF0FC"/>
          </w:tcPr>
          <w:p>
            <w:pPr>
              <w:spacing w:after="0"/>
              <w:rPr>
                <w:sz w:val="21"/>
                <w:szCs w:val="21"/>
                <w:color w:val="auto"/>
              </w:rPr>
            </w:pPr>
          </w:p>
        </w:tc>
        <w:tc>
          <w:tcPr>
            <w:tcW w:w="120" w:type="dxa"/>
            <w:vAlign w:val="bottom"/>
            <w:tcBorders>
              <w:bottom w:val="single" w:sz="8" w:color="auto"/>
            </w:tcBorders>
            <w:shd w:val="clear" w:color="auto" w:fill="CFF0FC"/>
          </w:tcPr>
          <w:p>
            <w:pPr>
              <w:spacing w:after="0"/>
              <w:rPr>
                <w:sz w:val="21"/>
                <w:szCs w:val="21"/>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80" w:type="dxa"/>
            <w:vAlign w:val="bottom"/>
            <w:tcBorders>
              <w:bottom w:val="single" w:sz="8" w:color="CFF0FC"/>
            </w:tcBorders>
            <w:shd w:val="clear" w:color="auto" w:fill="CFF0FC"/>
          </w:tcPr>
          <w:p>
            <w:pPr>
              <w:spacing w:after="0"/>
              <w:rPr>
                <w:sz w:val="21"/>
                <w:szCs w:val="21"/>
                <w:color w:val="auto"/>
              </w:rPr>
            </w:pPr>
          </w:p>
        </w:tc>
        <w:tc>
          <w:tcPr>
            <w:tcW w:w="1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1700" w:type="dxa"/>
            <w:vAlign w:val="bottom"/>
          </w:tcPr>
          <w:p>
            <w:pPr>
              <w:spacing w:after="0"/>
              <w:rPr>
                <w:sz w:val="20"/>
                <w:szCs w:val="20"/>
                <w:color w:val="auto"/>
              </w:rPr>
            </w:pPr>
          </w:p>
        </w:tc>
        <w:tc>
          <w:tcPr>
            <w:tcW w:w="2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w:t>
            </w:r>
          </w:p>
        </w:tc>
        <w:tc>
          <w:tcPr>
            <w:tcW w:w="2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2820" w:type="dxa"/>
            <w:vAlign w:val="bottom"/>
          </w:tcPr>
          <w:p>
            <w:pPr>
              <w:spacing w:after="0" w:line="20" w:lineRule="exact"/>
              <w:rPr>
                <w:sz w:val="1"/>
                <w:szCs w:val="1"/>
                <w:color w:val="auto"/>
              </w:rPr>
            </w:pPr>
          </w:p>
        </w:tc>
        <w:tc>
          <w:tcPr>
            <w:tcW w:w="2580" w:type="dxa"/>
            <w:vAlign w:val="bottom"/>
            <w:vMerge w:val="restart"/>
          </w:tcPr>
          <w:p>
            <w:pPr>
              <w:jc w:val="right"/>
              <w:ind w:right="135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1700" w:type="dxa"/>
            <w:vAlign w:val="bottom"/>
          </w:tcPr>
          <w:p>
            <w:pPr>
              <w:spacing w:after="0"/>
              <w:rPr>
                <w:sz w:val="24"/>
                <w:szCs w:val="24"/>
                <w:color w:val="auto"/>
              </w:rPr>
            </w:pPr>
          </w:p>
        </w:tc>
        <w:tc>
          <w:tcPr>
            <w:tcW w:w="2820" w:type="dxa"/>
            <w:vAlign w:val="bottom"/>
          </w:tcPr>
          <w:p>
            <w:pPr>
              <w:spacing w:after="0"/>
              <w:rPr>
                <w:sz w:val="24"/>
                <w:szCs w:val="24"/>
                <w:color w:val="auto"/>
              </w:rPr>
            </w:pPr>
          </w:p>
        </w:tc>
        <w:tc>
          <w:tcPr>
            <w:tcW w:w="25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1700" w:type="dxa"/>
            <w:vAlign w:val="bottom"/>
            <w:tcBorders>
              <w:bottom w:val="single" w:sz="8" w:color="9A9A9A"/>
            </w:tcBorders>
          </w:tcPr>
          <w:p>
            <w:pPr>
              <w:spacing w:after="0"/>
              <w:rPr>
                <w:sz w:val="24"/>
                <w:szCs w:val="24"/>
                <w:color w:val="auto"/>
              </w:rPr>
            </w:pPr>
          </w:p>
        </w:tc>
        <w:tc>
          <w:tcPr>
            <w:tcW w:w="2820" w:type="dxa"/>
            <w:vAlign w:val="bottom"/>
            <w:tcBorders>
              <w:bottom w:val="single" w:sz="8" w:color="9A9A9A"/>
            </w:tcBorders>
          </w:tcPr>
          <w:p>
            <w:pPr>
              <w:spacing w:after="0"/>
              <w:rPr>
                <w:sz w:val="24"/>
                <w:szCs w:val="24"/>
                <w:color w:val="auto"/>
              </w:rPr>
            </w:pPr>
          </w:p>
        </w:tc>
        <w:tc>
          <w:tcPr>
            <w:tcW w:w="25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10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96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5210810</wp:posOffset>
            </wp:positionH>
            <wp:positionV relativeFrom="paragraph">
              <wp:posOffset>-1095375</wp:posOffset>
            </wp:positionV>
            <wp:extent cx="5143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6024245</wp:posOffset>
            </wp:positionH>
            <wp:positionV relativeFrom="paragraph">
              <wp:posOffset>-1095375</wp:posOffset>
            </wp:positionV>
            <wp:extent cx="4254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2545"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7" w:name="page8"/>
    <w:bookmarkEnd w:id="7"/>
    <w:p>
      <w:pPr>
        <w:ind w:left="360" w:hanging="352"/>
        <w:spacing w:after="0"/>
        <w:tabs>
          <w:tab w:leader="none" w:pos="36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Accumulated Other Comprehensive Loss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accumulated other comprehensive loss are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Derivative</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Employee</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1020" w:type="dxa"/>
            <w:vAlign w:val="bottom"/>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w w:val="99"/>
              </w:rPr>
              <w:t>Financial</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5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w w:val="99"/>
              </w:rPr>
              <w:t>Translation</w:t>
            </w:r>
          </w:p>
        </w:tc>
        <w:tc>
          <w:tcPr>
            <w:tcW w:w="1020" w:type="dxa"/>
            <w:vAlign w:val="bottom"/>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w w:val="99"/>
              </w:rPr>
              <w:t>Plans,</w:t>
            </w: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54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78"/>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300" w:type="dxa"/>
            <w:vAlign w:val="bottom"/>
          </w:tcPr>
          <w:p>
            <w:pPr>
              <w:spacing w:after="0"/>
              <w:rPr>
                <w:sz w:val="16"/>
                <w:szCs w:val="16"/>
                <w:color w:val="auto"/>
              </w:rPr>
            </w:pPr>
          </w:p>
        </w:tc>
        <w:tc>
          <w:tcPr>
            <w:tcW w:w="1020" w:type="dxa"/>
            <w:vAlign w:val="bottom"/>
            <w:tcBorders>
              <w:bottom w:val="single" w:sz="8" w:color="auto"/>
            </w:tcBorders>
          </w:tcPr>
          <w:p>
            <w:pPr>
              <w:jc w:val="center"/>
              <w:ind w:left="102"/>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1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Borders>
              <w:bottom w:val="single" w:sz="8" w:color="auto"/>
            </w:tcBorders>
          </w:tcPr>
          <w:p>
            <w:pPr>
              <w:jc w:val="center"/>
              <w:ind w:left="182"/>
              <w:spacing w:after="0"/>
              <w:rPr>
                <w:sz w:val="20"/>
                <w:szCs w:val="20"/>
                <w:color w:val="auto"/>
              </w:rPr>
            </w:pPr>
            <w:r>
              <w:rPr>
                <w:rFonts w:ascii="Times New Roman" w:cs="Times New Roman" w:eastAsia="Times New Roman" w:hAnsi="Times New Roman"/>
                <w:sz w:val="14"/>
                <w:szCs w:val="14"/>
                <w:b w:val="1"/>
                <w:bCs w:val="1"/>
                <w:color w:val="auto"/>
              </w:rPr>
              <w:t>Net of Tax</w:t>
            </w:r>
          </w:p>
        </w:tc>
        <w:tc>
          <w:tcPr>
            <w:tcW w:w="2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5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(1,432 )</w:t>
            </w:r>
          </w:p>
        </w:tc>
        <w:tc>
          <w:tcPr>
            <w:tcW w:w="1020" w:type="dxa"/>
            <w:vAlign w:val="bottom"/>
            <w:shd w:val="clear" w:color="auto" w:fill="CFF0FC"/>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93"/>
              </w:rPr>
              <w:t>(5 )</w:t>
            </w:r>
          </w:p>
        </w:tc>
        <w:tc>
          <w:tcPr>
            <w:tcW w:w="940" w:type="dxa"/>
            <w:vAlign w:val="bottom"/>
            <w:shd w:val="clear" w:color="auto" w:fill="CFF0FC"/>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w w:val="86"/>
              </w:rPr>
              <w:t>(56 )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(1,493 )</w:t>
            </w:r>
          </w:p>
        </w:tc>
        <w:tc>
          <w:tcPr>
            <w:tcW w:w="0" w:type="dxa"/>
            <w:vAlign w:val="bottom"/>
          </w:tcPr>
          <w:p>
            <w:pPr>
              <w:spacing w:after="0"/>
              <w:rPr>
                <w:sz w:val="1"/>
                <w:szCs w:val="1"/>
                <w:color w:val="auto"/>
              </w:rPr>
            </w:pPr>
          </w:p>
        </w:tc>
      </w:tr>
      <w:tr>
        <w:trPr>
          <w:trHeight w:val="211"/>
        </w:trPr>
        <w:tc>
          <w:tcPr>
            <w:tcW w:w="54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Accumulated other comprehensive loss before</w:t>
            </w:r>
          </w:p>
        </w:tc>
        <w:tc>
          <w:tcPr>
            <w:tcW w:w="1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reclassifications</w:t>
            </w:r>
          </w:p>
        </w:tc>
        <w:tc>
          <w:tcPr>
            <w:tcW w:w="160" w:type="dxa"/>
            <w:vAlign w:val="bottom"/>
          </w:tcPr>
          <w:p>
            <w:pPr>
              <w:spacing w:after="0"/>
              <w:rPr>
                <w:sz w:val="20"/>
                <w:szCs w:val="20"/>
                <w:color w:val="auto"/>
              </w:rPr>
            </w:pP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(9 )</w:t>
            </w:r>
          </w:p>
        </w:tc>
        <w:tc>
          <w:tcPr>
            <w:tcW w:w="10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(4 )</w:t>
            </w:r>
          </w:p>
        </w:tc>
        <w:tc>
          <w:tcPr>
            <w:tcW w:w="28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c>
          <w:tcPr>
            <w:tcW w:w="0" w:type="dxa"/>
            <w:vAlign w:val="bottom"/>
          </w:tcPr>
          <w:p>
            <w:pPr>
              <w:spacing w:after="0"/>
              <w:rPr>
                <w:sz w:val="1"/>
                <w:szCs w:val="1"/>
                <w:color w:val="auto"/>
              </w:rPr>
            </w:pPr>
          </w:p>
        </w:tc>
      </w:tr>
      <w:tr>
        <w:trPr>
          <w:trHeight w:val="218"/>
        </w:trPr>
        <w:tc>
          <w:tcPr>
            <w:tcW w:w="54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Amounts reclassified from accumulated other comprehensive</w:t>
            </w:r>
          </w:p>
        </w:tc>
        <w:tc>
          <w:tcPr>
            <w:tcW w:w="160" w:type="dxa"/>
            <w:vAlign w:val="bottom"/>
            <w:shd w:val="clear" w:color="auto" w:fill="CFF0FC"/>
          </w:tcPr>
          <w:p>
            <w:pPr>
              <w:spacing w:after="0"/>
              <w:rPr>
                <w:sz w:val="18"/>
                <w:szCs w:val="18"/>
                <w:color w:val="auto"/>
              </w:rPr>
            </w:pPr>
          </w:p>
        </w:tc>
        <w:tc>
          <w:tcPr>
            <w:tcW w:w="10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8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520" w:type="dxa"/>
            <w:vAlign w:val="bottom"/>
            <w:gridSpan w:val="2"/>
            <w:vMerge w:val="restart"/>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(1 )</w:t>
            </w:r>
          </w:p>
        </w:tc>
        <w:tc>
          <w:tcPr>
            <w:tcW w:w="280" w:type="dxa"/>
            <w:vAlign w:val="bottom"/>
            <w:shd w:val="clear" w:color="auto" w:fill="CFF0FC"/>
          </w:tcPr>
          <w:p>
            <w:pPr>
              <w:spacing w:after="0"/>
              <w:rPr>
                <w:sz w:val="18"/>
                <w:szCs w:val="18"/>
                <w:color w:val="auto"/>
              </w:rPr>
            </w:pPr>
          </w:p>
        </w:tc>
        <w:tc>
          <w:tcPr>
            <w:tcW w:w="9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48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loss</w:t>
            </w:r>
          </w:p>
        </w:tc>
        <w:tc>
          <w:tcPr>
            <w:tcW w:w="160" w:type="dxa"/>
            <w:vAlign w:val="bottom"/>
            <w:shd w:val="clear" w:color="auto" w:fill="CFF0FC"/>
          </w:tcPr>
          <w:p>
            <w:pPr>
              <w:spacing w:after="0"/>
              <w:rPr>
                <w:sz w:val="20"/>
                <w:szCs w:val="20"/>
                <w:color w:val="auto"/>
              </w:rPr>
            </w:pPr>
          </w:p>
        </w:tc>
        <w:tc>
          <w:tcPr>
            <w:tcW w:w="1060" w:type="dxa"/>
            <w:vAlign w:val="bottom"/>
            <w:vMerge w:val="continue"/>
            <w:shd w:val="clear" w:color="auto" w:fill="CFF0FC"/>
          </w:tcPr>
          <w:p>
            <w:pPr>
              <w:spacing w:after="0"/>
              <w:rPr>
                <w:sz w:val="20"/>
                <w:szCs w:val="20"/>
                <w:color w:val="auto"/>
              </w:rPr>
            </w:pPr>
          </w:p>
        </w:tc>
        <w:tc>
          <w:tcPr>
            <w:tcW w:w="30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180" w:type="dxa"/>
            <w:vAlign w:val="bottom"/>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520" w:type="dxa"/>
            <w:vAlign w:val="bottom"/>
            <w:gridSpan w:val="2"/>
            <w:vMerge w:val="continue"/>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92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48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0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(1,440 )</w:t>
            </w:r>
          </w:p>
        </w:tc>
        <w:tc>
          <w:tcPr>
            <w:tcW w:w="1020" w:type="dxa"/>
            <w:vAlign w:val="bottom"/>
          </w:tcPr>
          <w:p>
            <w:pPr>
              <w:jc w:val="right"/>
              <w:ind w:right="842"/>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93"/>
              </w:rPr>
              <w:t>(1 )</w:t>
            </w:r>
          </w:p>
        </w:tc>
        <w:tc>
          <w:tcPr>
            <w:tcW w:w="940" w:type="dxa"/>
            <w:vAlign w:val="bottom"/>
          </w:tcPr>
          <w:p>
            <w:pPr>
              <w:jc w:val="right"/>
              <w:ind w:right="742"/>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w w:val="86"/>
              </w:rPr>
              <w:t>(61 )</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(1,502 )</w:t>
            </w:r>
          </w:p>
        </w:tc>
        <w:tc>
          <w:tcPr>
            <w:tcW w:w="0" w:type="dxa"/>
            <w:vAlign w:val="bottom"/>
          </w:tcPr>
          <w:p>
            <w:pPr>
              <w:spacing w:after="0"/>
              <w:rPr>
                <w:sz w:val="1"/>
                <w:szCs w:val="1"/>
                <w:color w:val="auto"/>
              </w:rPr>
            </w:pPr>
          </w:p>
        </w:tc>
      </w:tr>
      <w:tr>
        <w:trPr>
          <w:trHeight w:val="20"/>
        </w:trPr>
        <w:tc>
          <w:tcPr>
            <w:tcW w:w="5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4251960</wp:posOffset>
            </wp:positionH>
            <wp:positionV relativeFrom="paragraph">
              <wp:posOffset>-187960</wp:posOffset>
            </wp:positionV>
            <wp:extent cx="7683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5210810</wp:posOffset>
            </wp:positionH>
            <wp:positionV relativeFrom="paragraph">
              <wp:posOffset>-187960</wp:posOffset>
            </wp:positionV>
            <wp:extent cx="768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-187960</wp:posOffset>
            </wp:positionV>
            <wp:extent cx="6858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amounts reclassified from accumulated other comprehensive loss are as follows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24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7"/>
          </w:tcPr>
          <w:p>
            <w:pPr>
              <w:jc w:val="right"/>
              <w:ind w:right="3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42"/>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3"/>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8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Borders>
              <w:bottom w:val="single" w:sz="8" w:color="auto"/>
            </w:tcBorders>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center"/>
              <w:ind w:right="18"/>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8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8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160" w:type="dxa"/>
            <w:vAlign w:val="bottom"/>
            <w:gridSpan w:val="2"/>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1"/>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tcPr>
          <w:p>
            <w:pPr>
              <w:spacing w:after="0"/>
              <w:rPr>
                <w:sz w:val="18"/>
                <w:szCs w:val="18"/>
                <w:color w:val="auto"/>
              </w:rPr>
            </w:pP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vMerge w:val="continue"/>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vMerge w:val="continue"/>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4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(1 )  $</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20" w:type="dxa"/>
            <w:vAlign w:val="bottom"/>
            <w:gridSpan w:val="2"/>
            <w:shd w:val="clear" w:color="auto" w:fill="CFF0FC"/>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3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24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gridSpan w:val="7"/>
          </w:tcPr>
          <w:p>
            <w:pPr>
              <w:jc w:val="right"/>
              <w:ind w:right="7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4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3"/>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2023</w:t>
            </w:r>
          </w:p>
        </w:tc>
        <w:tc>
          <w:tcPr>
            <w:tcW w:w="6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8"/>
        </w:trPr>
        <w:tc>
          <w:tcPr>
            <w:tcW w:w="24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40" w:type="dxa"/>
            <w:vAlign w:val="bottom"/>
          </w:tcPr>
          <w:p>
            <w:pPr>
              <w:jc w:val="center"/>
              <w:ind w:left="142"/>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gridSpan w:val="2"/>
          </w:tcPr>
          <w:p>
            <w:pPr>
              <w:jc w:val="center"/>
              <w:ind w:right="340"/>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1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center"/>
              <w:ind w:right="13"/>
              <w:spacing w:after="0" w:line="157" w:lineRule="exact"/>
              <w:rPr>
                <w:sz w:val="20"/>
                <w:szCs w:val="20"/>
                <w:color w:val="auto"/>
              </w:rPr>
            </w:pPr>
            <w:r>
              <w:rPr>
                <w:rFonts w:ascii="Times New Roman" w:cs="Times New Roman" w:eastAsia="Times New Roman" w:hAnsi="Times New Roman"/>
                <w:sz w:val="14"/>
                <w:szCs w:val="14"/>
                <w:b w:val="1"/>
                <w:bCs w:val="1"/>
                <w:color w:val="auto"/>
              </w:rPr>
              <w:t>Currency</w:t>
            </w:r>
          </w:p>
        </w:tc>
        <w:tc>
          <w:tcPr>
            <w:tcW w:w="220" w:type="dxa"/>
            <w:vAlign w:val="bottom"/>
          </w:tcPr>
          <w:p>
            <w:pPr>
              <w:spacing w:after="0"/>
              <w:rPr>
                <w:sz w:val="13"/>
                <w:szCs w:val="13"/>
                <w:color w:val="auto"/>
              </w:rPr>
            </w:pPr>
          </w:p>
        </w:tc>
        <w:tc>
          <w:tcPr>
            <w:tcW w:w="80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Derivative</w:t>
            </w:r>
          </w:p>
        </w:tc>
        <w:tc>
          <w:tcPr>
            <w:tcW w:w="220" w:type="dxa"/>
            <w:vAlign w:val="bottom"/>
          </w:tcPr>
          <w:p>
            <w:pPr>
              <w:spacing w:after="0"/>
              <w:rPr>
                <w:sz w:val="13"/>
                <w:szCs w:val="13"/>
                <w:color w:val="auto"/>
              </w:rPr>
            </w:pPr>
          </w:p>
        </w:tc>
        <w:tc>
          <w:tcPr>
            <w:tcW w:w="820" w:type="dxa"/>
            <w:vAlign w:val="bottom"/>
            <w:gridSpan w:val="2"/>
          </w:tcPr>
          <w:p>
            <w:pPr>
              <w:jc w:val="center"/>
              <w:spacing w:after="0" w:line="157" w:lineRule="exact"/>
              <w:rPr>
                <w:sz w:val="20"/>
                <w:szCs w:val="20"/>
                <w:color w:val="auto"/>
              </w:rPr>
            </w:pPr>
            <w:r>
              <w:rPr>
                <w:rFonts w:ascii="Times New Roman" w:cs="Times New Roman" w:eastAsia="Times New Roman" w:hAnsi="Times New Roman"/>
                <w:sz w:val="14"/>
                <w:szCs w:val="14"/>
                <w:b w:val="1"/>
                <w:bCs w:val="1"/>
                <w:color w:val="auto"/>
              </w:rPr>
              <w:t>Employee</w:t>
            </w:r>
          </w:p>
        </w:tc>
        <w:tc>
          <w:tcPr>
            <w:tcW w:w="2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00" w:type="dxa"/>
            <w:vAlign w:val="bottom"/>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80" w:type="dxa"/>
            <w:vAlign w:val="bottom"/>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Financial</w:t>
            </w: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w w:val="98"/>
              </w:rPr>
              <w:t>Benefit</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2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jc w:val="center"/>
              <w:ind w:left="142"/>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160" w:type="dxa"/>
            <w:vAlign w:val="bottom"/>
          </w:tcPr>
          <w:p>
            <w:pPr>
              <w:spacing w:after="0"/>
              <w:rPr>
                <w:sz w:val="16"/>
                <w:szCs w:val="16"/>
                <w:color w:val="auto"/>
              </w:rPr>
            </w:pPr>
          </w:p>
        </w:tc>
        <w:tc>
          <w:tcPr>
            <w:tcW w:w="640" w:type="dxa"/>
            <w:vAlign w:val="bottom"/>
          </w:tcPr>
          <w:p>
            <w:pPr>
              <w:jc w:val="right"/>
              <w:ind w:right="15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220" w:type="dxa"/>
            <w:vAlign w:val="bottom"/>
          </w:tcPr>
          <w:p>
            <w:pPr>
              <w:spacing w:after="0"/>
              <w:rPr>
                <w:sz w:val="16"/>
                <w:szCs w:val="16"/>
                <w:color w:val="auto"/>
              </w:rPr>
            </w:pPr>
          </w:p>
        </w:tc>
        <w:tc>
          <w:tcPr>
            <w:tcW w:w="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Adjustments</w:t>
            </w:r>
          </w:p>
        </w:tc>
        <w:tc>
          <w:tcPr>
            <w:tcW w:w="220" w:type="dxa"/>
            <w:vAlign w:val="bottom"/>
          </w:tcPr>
          <w:p>
            <w:pPr>
              <w:spacing w:after="0"/>
              <w:rPr>
                <w:sz w:val="16"/>
                <w:szCs w:val="16"/>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Instruments</w:t>
            </w:r>
          </w:p>
        </w:tc>
        <w:tc>
          <w:tcPr>
            <w:tcW w:w="2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jc w:val="center"/>
              <w:ind w:right="55"/>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6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32"/>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120" w:type="dxa"/>
            <w:vAlign w:val="bottom"/>
          </w:tcPr>
          <w:p>
            <w:pPr>
              <w:spacing w:after="0"/>
              <w:rPr>
                <w:sz w:val="20"/>
                <w:szCs w:val="20"/>
                <w:color w:val="auto"/>
              </w:rPr>
            </w:pPr>
          </w:p>
        </w:tc>
        <w:tc>
          <w:tcPr>
            <w:tcW w:w="1040" w:type="dxa"/>
            <w:vAlign w:val="bottom"/>
            <w:tcBorders>
              <w:top w:val="single" w:sz="8" w:color="auto"/>
            </w:tcBorders>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Cost of revenue</w:t>
            </w:r>
          </w:p>
        </w:tc>
        <w:tc>
          <w:tcPr>
            <w:tcW w:w="12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FF0FC"/>
          </w:tcPr>
          <w:p>
            <w:pPr>
              <w:spacing w:after="0"/>
              <w:rPr>
                <w:sz w:val="21"/>
                <w:szCs w:val="21"/>
                <w:color w:val="auto"/>
              </w:rPr>
            </w:pP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8"/>
        </w:trPr>
        <w:tc>
          <w:tcPr>
            <w:tcW w:w="2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expense</w:t>
            </w:r>
          </w:p>
        </w:tc>
        <w:tc>
          <w:tcPr>
            <w:tcW w:w="1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Selling, general and</w:t>
            </w:r>
          </w:p>
        </w:tc>
        <w:tc>
          <w:tcPr>
            <w:tcW w:w="1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2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40" w:type="dxa"/>
            <w:vAlign w:val="bottom"/>
            <w:gridSpan w:val="2"/>
            <w:vMerge w:val="restart"/>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(1 )</w:t>
            </w:r>
          </w:p>
        </w:tc>
        <w:tc>
          <w:tcPr>
            <w:tcW w:w="16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administrative</w:t>
            </w:r>
          </w:p>
        </w:tc>
        <w:tc>
          <w:tcPr>
            <w:tcW w:w="120" w:type="dxa"/>
            <w:vAlign w:val="bottom"/>
            <w:shd w:val="clear" w:color="auto" w:fill="CFF0FC"/>
          </w:tcPr>
          <w:p>
            <w:pPr>
              <w:spacing w:after="0"/>
              <w:rPr>
                <w:sz w:val="20"/>
                <w:szCs w:val="20"/>
                <w:color w:val="auto"/>
              </w:rPr>
            </w:pPr>
          </w:p>
        </w:tc>
        <w:tc>
          <w:tcPr>
            <w:tcW w:w="1040" w:type="dxa"/>
            <w:vAlign w:val="bottom"/>
            <w:shd w:val="clear" w:color="auto" w:fill="CFF0FC"/>
          </w:tcPr>
          <w:p>
            <w:pPr>
              <w:spacing w:after="0"/>
              <w:rPr>
                <w:sz w:val="20"/>
                <w:szCs w:val="20"/>
                <w:color w:val="auto"/>
              </w:rPr>
            </w:pPr>
          </w:p>
        </w:tc>
        <w:tc>
          <w:tcPr>
            <w:tcW w:w="220" w:type="dxa"/>
            <w:vAlign w:val="bottom"/>
            <w:vMerge w:val="continue"/>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64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70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680" w:type="dxa"/>
            <w:vAlign w:val="bottom"/>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660" w:type="dxa"/>
            <w:vAlign w:val="bottom"/>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24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40" w:type="dxa"/>
            <w:vAlign w:val="bottom"/>
          </w:tcPr>
          <w:p>
            <w:pPr>
              <w:jc w:val="right"/>
              <w:ind w:right="862"/>
              <w:spacing w:after="0"/>
              <w:rPr>
                <w:sz w:val="20"/>
                <w:szCs w:val="20"/>
                <w:color w:val="auto"/>
              </w:rPr>
            </w:pPr>
            <w:r>
              <w:rPr>
                <w:rFonts w:ascii="Times New Roman" w:cs="Times New Roman" w:eastAsia="Times New Roman" w:hAnsi="Times New Roman"/>
                <w:sz w:val="18"/>
                <w:szCs w:val="18"/>
                <w:color w:val="auto"/>
                <w:w w:val="88"/>
              </w:rPr>
              <w:t>$</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(1 )  $</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2445385</wp:posOffset>
            </wp:positionH>
            <wp:positionV relativeFrom="paragraph">
              <wp:posOffset>-1694815</wp:posOffset>
            </wp:positionV>
            <wp:extent cx="7683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-1677670</wp:posOffset>
            </wp:positionV>
            <wp:extent cx="7683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-1694815</wp:posOffset>
            </wp:positionV>
            <wp:extent cx="7683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-1677670</wp:posOffset>
            </wp:positionV>
            <wp:extent cx="7683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-1694815</wp:posOffset>
            </wp:positionV>
            <wp:extent cx="6858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-1677670</wp:posOffset>
            </wp:positionV>
            <wp:extent cx="6858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-1694815</wp:posOffset>
            </wp:positionV>
            <wp:extent cx="6858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-1677670</wp:posOffset>
            </wp:positionV>
            <wp:extent cx="6858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-1694815</wp:posOffset>
            </wp:positionV>
            <wp:extent cx="6858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-1677670</wp:posOffset>
            </wp:positionV>
            <wp:extent cx="6858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-1694815</wp:posOffset>
            </wp:positionV>
            <wp:extent cx="6858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-1677670</wp:posOffset>
            </wp:positionV>
            <wp:extent cx="6858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-1694815</wp:posOffset>
            </wp:positionV>
            <wp:extent cx="6858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-1677670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-1694815</wp:posOffset>
            </wp:positionV>
            <wp:extent cx="6858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-1677670</wp:posOffset>
            </wp:positionV>
            <wp:extent cx="6858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2445385</wp:posOffset>
            </wp:positionH>
            <wp:positionV relativeFrom="paragraph">
              <wp:posOffset>-187960</wp:posOffset>
            </wp:positionV>
            <wp:extent cx="7683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3130550</wp:posOffset>
            </wp:positionH>
            <wp:positionV relativeFrom="paragraph">
              <wp:posOffset>-187960</wp:posOffset>
            </wp:positionV>
            <wp:extent cx="7683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3806825</wp:posOffset>
            </wp:positionH>
            <wp:positionV relativeFrom="paragraph">
              <wp:posOffset>-187960</wp:posOffset>
            </wp:positionV>
            <wp:extent cx="6858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4457700</wp:posOffset>
            </wp:positionH>
            <wp:positionV relativeFrom="paragraph">
              <wp:posOffset>-187960</wp:posOffset>
            </wp:positionV>
            <wp:extent cx="6858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-187960</wp:posOffset>
            </wp:positionV>
            <wp:extent cx="6858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5758815</wp:posOffset>
            </wp:positionH>
            <wp:positionV relativeFrom="paragraph">
              <wp:posOffset>-187960</wp:posOffset>
            </wp:positionV>
            <wp:extent cx="6858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-187960</wp:posOffset>
            </wp:positionV>
            <wp:extent cx="6858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ind w:right="20"/>
        <w:spacing w:after="0" w:line="265" w:lineRule="auto"/>
        <w:rPr>
          <w:sz w:val="20"/>
          <w:szCs w:val="20"/>
          <w:color w:val="auto"/>
        </w:rPr>
      </w:pPr>
      <w:r>
        <w:rPr>
          <w:rFonts w:ascii="Times New Roman" w:cs="Times New Roman" w:eastAsia="Times New Roman" w:hAnsi="Times New Roman"/>
          <w:sz w:val="18"/>
          <w:szCs w:val="18"/>
          <w:color w:val="auto"/>
        </w:rPr>
        <w:t>The Company’s reporting currency is the U.S. dollar. A majority of the Company’s international entities in which there is a substantial investment have the local currency as their functional currency. As a result, currency translation adjustments resulting from the process of translating the entities’ financial statements into the reporting currency are reported in other comprehensive income (loss).</w:t>
      </w:r>
    </w:p>
    <w:p>
      <w:pPr>
        <w:spacing w:after="0" w:line="17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effect of changes in the fair values of derivatives designated as cash flow hedges are accumulated in other comprehensive income (loss), net of tax, until the underlying transactions are realized. The movement in other comprehensive income (loss) from period to period will be the combination of: 1) changes in fair value of open derivatives of $1 million during each of the three and nine months ended September 30, 2024; and, 2) the outflow of other comprehensive loss related to cumulative changes in the fair value of derivatives that have settled in the current period, which were $1 million and $3 million the three and nine months ended September 30, 2024.</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8" w:name="page9"/>
    <w:bookmarkEnd w:id="8"/>
    <w:p>
      <w:pPr>
        <w:ind w:left="360" w:hanging="352"/>
        <w:spacing w:after="0"/>
        <w:tabs>
          <w:tab w:leader="none" w:pos="36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Segments</w:t>
      </w:r>
    </w:p>
    <w:p>
      <w:pPr>
        <w:spacing w:after="0" w:line="12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Effective January 1, 2024, NOV consolidated its reporting structure into two segments: Energy Products and Services, and Energy Equipment. Segment disclosures pertaining to prior periods have been restated to reflect the change in reportable segments.</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by operating segment are as follows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840" w:type="dxa"/>
            <w:vAlign w:val="bottom"/>
          </w:tcPr>
          <w:p>
            <w:pPr>
              <w:spacing w:after="0"/>
              <w:rPr>
                <w:sz w:val="15"/>
                <w:szCs w:val="15"/>
                <w:color w:val="auto"/>
              </w:rPr>
            </w:pPr>
          </w:p>
        </w:tc>
        <w:tc>
          <w:tcPr>
            <w:tcW w:w="214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1,003</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1,219</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2,191</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2,185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5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-984250</wp:posOffset>
            </wp:positionV>
            <wp:extent cx="7683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-967105</wp:posOffset>
            </wp:positionV>
            <wp:extent cx="7683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-984250</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-967105</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-984250</wp:posOffset>
            </wp:positionV>
            <wp:extent cx="6858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-967105</wp:posOffset>
            </wp:positionV>
            <wp:extent cx="6858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Sales from one segment to another generally are priced at estimated equivalent commercial selling prices; however, segments originating an external sale are credited with the full profit to the Company. Eliminations include intercompany transactions conducted between the two reporting segments that are eliminated in consolidation. Intrasegment transactions are eliminated within each segment.</w:t>
      </w:r>
    </w:p>
    <w:p>
      <w:pPr>
        <w:spacing w:after="0" w:line="204"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Total other items included in operating profit were an expense of $5 million for the three months ended September 30, 2024, primarily related to severance pay, and a credit of $116 million for the nine months ended September 30, 2024, primarily related to gains from divestiture of the Company's Pole Products business in the Energy Equipment segment. For the three months ended September 30, 2023, total other items included in operating profit were an expense of $7 million, primarily related to a voluntary early retirement program, and a credit of $4 million for the nine months ended September 30, 2023, primarily related to gains on the sale of previously reserved inventory.</w:t>
      </w:r>
    </w:p>
    <w:p>
      <w:pPr>
        <w:spacing w:after="0" w:line="205" w:lineRule="exact"/>
        <w:rPr>
          <w:sz w:val="20"/>
          <w:szCs w:val="20"/>
          <w:color w:val="auto"/>
        </w:rPr>
      </w:pPr>
    </w:p>
    <w:p>
      <w:pPr>
        <w:ind w:left="360" w:hanging="352"/>
        <w:spacing w:after="0"/>
        <w:tabs>
          <w:tab w:leader="none" w:pos="36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Acquisitions and Divestitures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During the nine months ended September 30, 2024, our Energy Products and Services segment made two strategic acquisitions to enhance and expand our existing portfolio for a total consideration of $245 million, net of cash acquired. One of the two acquisitions was a company owned by White Deer Energy, a middle market private equity fund focused on energy investments. As the transaction involved a related party at the time it was entered into (e.g., directors Ben A. Guill and Eric L. Mattson both had an investment interest in certain White Deer Energy funds), the acquisition was approved by the disinterested members of the Company’s Board of Directors.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As of September 30, 2024, we provisionally recorded $126 million of goodwill and amortizable intangible assets; $63 million of PP&amp;E, including financing and operating lease right of use assets; $89 million of net working capital; $16 million of finance and operating lease liabilities, and $17 million in other liabilities. The fair values of the assets acquired and liabilities assumed are preliminary and subject to change until we finalize our accounting for these acquisitions.</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On April 9, 2024, NOV completed the divestiture of its Pole Products business. Pole Products is a leading manufacturer of premium spun-cast concrete and tapered steel poles for diverse applications. We recorded a gain of $131 million, which is included as a reduction of Cost of Revenue on the Consolidated Statements of Income.</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During the second quarter, the Company purchased the remaining noncontrolling interest in Keystone Tower Systems for total consideration of $30 million.</w:t>
      </w:r>
    </w:p>
    <w:p>
      <w:pPr>
        <w:spacing w:after="0" w:line="3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9" w:right="339" w:bottom="1440" w:gutter="0" w:footer="0" w:header="0"/>
        </w:sectPr>
      </w:pPr>
    </w:p>
    <w:bookmarkStart w:id="9" w:name="page10"/>
    <w:bookmarkEnd w:id="9"/>
    <w:p>
      <w:pPr>
        <w:ind w:left="360" w:hanging="352"/>
        <w:spacing w:after="0"/>
        <w:tabs>
          <w:tab w:leader="none" w:pos="36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disaggregates the Company’s revenue by major geographic and market segment destination. In the table, North America includes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and Canada (in millions):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100" w:type="dxa"/>
            <w:vAlign w:val="bottom"/>
            <w:tcBorders>
              <w:bottom w:val="single" w:sz="8" w:color="auto"/>
            </w:tcBorders>
            <w:gridSpan w:val="5"/>
          </w:tcPr>
          <w:p>
            <w:pPr>
              <w:ind w:left="20"/>
              <w:spacing w:after="0"/>
              <w:rPr>
                <w:sz w:val="20"/>
                <w:szCs w:val="20"/>
                <w:color w:val="auto"/>
              </w:rPr>
            </w:pPr>
            <w:r>
              <w:rPr>
                <w:rFonts w:ascii="Times New Roman" w:cs="Times New Roman" w:eastAsia="Times New Roman" w:hAnsi="Times New Roman"/>
                <w:sz w:val="13"/>
                <w:szCs w:val="13"/>
                <w:b w:val="1"/>
                <w:bCs w:val="1"/>
                <w:color w:val="auto"/>
              </w:rPr>
              <w:t>Three Months Ended September 30,</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7"/>
        </w:trPr>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84"/>
              </w:rPr>
              <w:t>2023</w:t>
            </w: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7"/>
        </w:trPr>
        <w:tc>
          <w:tcPr>
            <w:tcW w:w="20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6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1"/>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4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Elims.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29"/>
              <w:spacing w:after="0"/>
              <w:rPr>
                <w:sz w:val="20"/>
                <w:szCs w:val="20"/>
                <w:color w:val="auto"/>
              </w:rPr>
            </w:pPr>
            <w:r>
              <w:rPr>
                <w:rFonts w:ascii="Times New Roman" w:cs="Times New Roman" w:eastAsia="Times New Roman" w:hAnsi="Times New Roman"/>
                <w:sz w:val="13"/>
                <w:szCs w:val="13"/>
                <w:b w:val="1"/>
                <w:bCs w:val="1"/>
                <w:color w:val="auto"/>
              </w:rPr>
              <w:t>Elims.</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0" w:type="dxa"/>
            <w:vAlign w:val="bottom"/>
          </w:tcPr>
          <w:p>
            <w:pPr>
              <w:spacing w:after="0"/>
              <w:rPr>
                <w:sz w:val="14"/>
                <w:szCs w:val="14"/>
                <w:color w:val="auto"/>
              </w:rPr>
            </w:pPr>
          </w:p>
        </w:tc>
      </w:tr>
      <w:tr>
        <w:trPr>
          <w:trHeight w:val="170"/>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502</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319</w:t>
            </w:r>
          </w:p>
        </w:tc>
        <w:tc>
          <w:tcPr>
            <w:tcW w:w="240" w:type="dxa"/>
            <w:vAlign w:val="bottom"/>
            <w:shd w:val="clear" w:color="auto" w:fill="CFF0FC"/>
          </w:tcPr>
          <w:p>
            <w:pPr>
              <w:spacing w:after="0"/>
              <w:rPr>
                <w:sz w:val="14"/>
                <w:szCs w:val="14"/>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821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495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302</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797</w:t>
            </w:r>
          </w:p>
        </w:tc>
        <w:tc>
          <w:tcPr>
            <w:tcW w:w="100" w:type="dxa"/>
            <w:vAlign w:val="bottom"/>
            <w:shd w:val="clear" w:color="auto" w:fill="CFF0FC"/>
          </w:tcPr>
          <w:p>
            <w:pPr>
              <w:spacing w:after="0"/>
              <w:rPr>
                <w:sz w:val="14"/>
                <w:szCs w:val="14"/>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483</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887</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1,370</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877</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w:t>
            </w:r>
          </w:p>
        </w:tc>
        <w:tc>
          <w:tcPr>
            <w:tcW w:w="100" w:type="dxa"/>
            <w:vAlign w:val="bottom"/>
          </w:tcPr>
          <w:p>
            <w:pPr>
              <w:spacing w:after="0"/>
              <w:rPr>
                <w:sz w:val="15"/>
                <w:szCs w:val="15"/>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0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(31 )</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tcPr>
          <w:p>
            <w:pPr>
              <w:spacing w:after="0"/>
              <w:rPr>
                <w:sz w:val="14"/>
                <w:szCs w:val="14"/>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56"/>
        </w:trPr>
        <w:tc>
          <w:tcPr>
            <w:tcW w:w="200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140" w:type="dxa"/>
            <w:vAlign w:val="bottom"/>
            <w:shd w:val="clear" w:color="auto" w:fill="CFF0FC"/>
          </w:tcPr>
          <w:p>
            <w:pPr>
              <w:spacing w:after="0"/>
              <w:rPr>
                <w:sz w:val="13"/>
                <w:szCs w:val="13"/>
                <w:color w:val="auto"/>
              </w:rPr>
            </w:pPr>
          </w:p>
        </w:tc>
        <w:tc>
          <w:tcPr>
            <w:tcW w:w="820" w:type="dxa"/>
            <w:vAlign w:val="bottom"/>
            <w:shd w:val="clear" w:color="auto" w:fill="CFF0FC"/>
          </w:tcPr>
          <w:p>
            <w:pPr>
              <w:spacing w:after="0"/>
              <w:rPr>
                <w:sz w:val="13"/>
                <w:szCs w:val="13"/>
                <w:color w:val="auto"/>
              </w:rPr>
            </w:pPr>
          </w:p>
        </w:tc>
        <w:tc>
          <w:tcPr>
            <w:tcW w:w="24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8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820" w:type="dxa"/>
            <w:vAlign w:val="bottom"/>
            <w:tcBorders>
              <w:right w:val="single" w:sz="8" w:color="CFF0FC"/>
            </w:tcBorders>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74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761</w:t>
            </w:r>
          </w:p>
        </w:tc>
        <w:tc>
          <w:tcPr>
            <w:tcW w:w="4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436</w:t>
            </w:r>
          </w:p>
        </w:tc>
        <w:tc>
          <w:tcPr>
            <w:tcW w:w="24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1,197</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739</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435</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1,174</w:t>
            </w:r>
          </w:p>
        </w:tc>
        <w:tc>
          <w:tcPr>
            <w:tcW w:w="100" w:type="dxa"/>
            <w:vAlign w:val="bottom"/>
          </w:tcPr>
          <w:p>
            <w:pPr>
              <w:spacing w:after="0"/>
              <w:rPr>
                <w:sz w:val="15"/>
                <w:szCs w:val="15"/>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Offshore</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224</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994</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744</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1,011</w:t>
            </w:r>
          </w:p>
        </w:tc>
        <w:tc>
          <w:tcPr>
            <w:tcW w:w="100" w:type="dxa"/>
            <w:vAlign w:val="bottom"/>
            <w:shd w:val="clear" w:color="auto" w:fill="CFF0FC"/>
          </w:tcPr>
          <w:p>
            <w:pPr>
              <w:spacing w:after="0"/>
              <w:rPr>
                <w:sz w:val="15"/>
                <w:szCs w:val="15"/>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(31 )</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89"/>
        </w:trPr>
        <w:tc>
          <w:tcPr>
            <w:tcW w:w="2000" w:type="dxa"/>
            <w:vAlign w:val="bottom"/>
            <w:shd w:val="clear" w:color="auto" w:fill="CFF0FC"/>
          </w:tcPr>
          <w:p>
            <w:pPr>
              <w:spacing w:after="0"/>
              <w:rPr>
                <w:sz w:val="16"/>
                <w:szCs w:val="16"/>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1,003</w:t>
            </w:r>
          </w:p>
        </w:tc>
        <w:tc>
          <w:tcPr>
            <w:tcW w:w="260" w:type="dxa"/>
            <w:vAlign w:val="bottom"/>
            <w:shd w:val="clear" w:color="auto" w:fill="CFF0FC"/>
          </w:tcPr>
          <w:p>
            <w:pPr>
              <w:spacing w:after="0"/>
              <w:rPr>
                <w:sz w:val="16"/>
                <w:szCs w:val="16"/>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1,219</w:t>
            </w:r>
          </w:p>
        </w:tc>
        <w:tc>
          <w:tcPr>
            <w:tcW w:w="240" w:type="dxa"/>
            <w:vAlign w:val="bottom"/>
            <w:shd w:val="clear" w:color="auto" w:fill="CFF0FC"/>
          </w:tcPr>
          <w:p>
            <w:pPr>
              <w:spacing w:after="0"/>
              <w:rPr>
                <w:sz w:val="16"/>
                <w:szCs w:val="16"/>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(31 )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2,191</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1,034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1,195</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(44 )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2,185</w:t>
            </w:r>
          </w:p>
        </w:tc>
        <w:tc>
          <w:tcPr>
            <w:tcW w:w="100" w:type="dxa"/>
            <w:vAlign w:val="bottom"/>
            <w:shd w:val="clear" w:color="auto" w:fill="CFF0FC"/>
          </w:tcPr>
          <w:p>
            <w:pPr>
              <w:spacing w:after="0"/>
              <w:rPr>
                <w:sz w:val="16"/>
                <w:szCs w:val="16"/>
                <w:color w:val="auto"/>
              </w:rPr>
            </w:pPr>
          </w:p>
        </w:tc>
      </w:tr>
      <w:tr>
        <w:trPr>
          <w:trHeight w:val="20"/>
        </w:trPr>
        <w:tc>
          <w:tcPr>
            <w:tcW w:w="200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51"/>
        </w:trPr>
        <w:tc>
          <w:tcPr>
            <w:tcW w:w="20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5"/>
          </w:tcPr>
          <w:p>
            <w:pPr>
              <w:jc w:val="right"/>
              <w:ind w:right="91"/>
              <w:spacing w:after="0"/>
              <w:rPr>
                <w:sz w:val="20"/>
                <w:szCs w:val="20"/>
                <w:color w:val="auto"/>
              </w:rPr>
            </w:pPr>
            <w:r>
              <w:rPr>
                <w:rFonts w:ascii="Times New Roman" w:cs="Times New Roman" w:eastAsia="Times New Roman" w:hAnsi="Times New Roman"/>
                <w:sz w:val="13"/>
                <w:szCs w:val="13"/>
                <w:b w:val="1"/>
                <w:bCs w:val="1"/>
                <w:color w:val="auto"/>
                <w:w w:val="98"/>
              </w:rPr>
              <w:t>Nine Months Ended September 30,</w:t>
            </w:r>
          </w:p>
        </w:tc>
        <w:tc>
          <w:tcPr>
            <w:tcW w:w="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57"/>
        </w:trPr>
        <w:tc>
          <w:tcPr>
            <w:tcW w:w="200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spacing w:after="0"/>
              <w:rPr>
                <w:sz w:val="13"/>
                <w:szCs w:val="13"/>
                <w:color w:val="auto"/>
              </w:rPr>
            </w:pPr>
          </w:p>
        </w:tc>
        <w:tc>
          <w:tcPr>
            <w:tcW w:w="420" w:type="dxa"/>
            <w:vAlign w:val="bottom"/>
            <w:tcBorders>
              <w:bottom w:val="single" w:sz="8" w:color="auto"/>
            </w:tcBorders>
            <w:gridSpan w:val="2"/>
          </w:tcPr>
          <w:p>
            <w:pPr>
              <w:jc w:val="right"/>
              <w:ind w:right="108"/>
              <w:spacing w:after="0"/>
              <w:rPr>
                <w:sz w:val="20"/>
                <w:szCs w:val="20"/>
                <w:color w:val="auto"/>
              </w:rPr>
            </w:pPr>
            <w:r>
              <w:rPr>
                <w:rFonts w:ascii="Times New Roman" w:cs="Times New Roman" w:eastAsia="Times New Roman" w:hAnsi="Times New Roman"/>
                <w:sz w:val="13"/>
                <w:szCs w:val="13"/>
                <w:b w:val="1"/>
                <w:bCs w:val="1"/>
                <w:color w:val="auto"/>
                <w:w w:val="84"/>
              </w:rPr>
              <w:t>2023</w:t>
            </w:r>
          </w:p>
        </w:tc>
        <w:tc>
          <w:tcPr>
            <w:tcW w:w="74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166"/>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71"/>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8"/>
              </w:rPr>
              <w:t>Energy</w:t>
            </w: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51"/>
              <w:spacing w:after="0"/>
              <w:rPr>
                <w:sz w:val="20"/>
                <w:szCs w:val="20"/>
                <w:color w:val="auto"/>
              </w:rPr>
            </w:pPr>
            <w:r>
              <w:rPr>
                <w:rFonts w:ascii="Times New Roman" w:cs="Times New Roman" w:eastAsia="Times New Roman" w:hAnsi="Times New Roman"/>
                <w:sz w:val="13"/>
                <w:szCs w:val="13"/>
                <w:b w:val="1"/>
                <w:bCs w:val="1"/>
                <w:color w:val="auto"/>
                <w:w w:val="96"/>
              </w:rPr>
              <w:t>Products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50"/>
              <w:spacing w:after="0"/>
              <w:rPr>
                <w:sz w:val="20"/>
                <w:szCs w:val="20"/>
                <w:color w:val="auto"/>
              </w:rPr>
            </w:pPr>
            <w:r>
              <w:rPr>
                <w:rFonts w:ascii="Times New Roman" w:cs="Times New Roman" w:eastAsia="Times New Roman" w:hAnsi="Times New Roman"/>
                <w:sz w:val="13"/>
                <w:szCs w:val="13"/>
                <w:b w:val="1"/>
                <w:bCs w:val="1"/>
                <w:color w:val="auto"/>
                <w:w w:val="93"/>
              </w:rPr>
              <w:t>Energy</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66"/>
        </w:trPr>
        <w:tc>
          <w:tcPr>
            <w:tcW w:w="2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gridSpan w:val="2"/>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Elims.</w:t>
            </w:r>
          </w:p>
        </w:tc>
        <w:tc>
          <w:tcPr>
            <w:tcW w:w="200" w:type="dxa"/>
            <w:vAlign w:val="bottom"/>
          </w:tcPr>
          <w:p>
            <w:pPr>
              <w:spacing w:after="0"/>
              <w:rPr>
                <w:sz w:val="14"/>
                <w:szCs w:val="14"/>
                <w:color w:val="auto"/>
              </w:rPr>
            </w:pPr>
          </w:p>
        </w:tc>
        <w:tc>
          <w:tcPr>
            <w:tcW w:w="740" w:type="dxa"/>
            <w:vAlign w:val="bottom"/>
          </w:tcPr>
          <w:p>
            <w:pPr>
              <w:jc w:val="right"/>
              <w:ind w:right="269"/>
              <w:spacing w:after="0"/>
              <w:rPr>
                <w:sz w:val="20"/>
                <w:szCs w:val="20"/>
                <w:color w:val="auto"/>
              </w:rPr>
            </w:pPr>
            <w:r>
              <w:rPr>
                <w:rFonts w:ascii="Times New Roman" w:cs="Times New Roman" w:eastAsia="Times New Roman" w:hAnsi="Times New Roman"/>
                <w:sz w:val="13"/>
                <w:szCs w:val="13"/>
                <w:b w:val="1"/>
                <w:bCs w:val="1"/>
                <w:color w:val="auto"/>
              </w:rPr>
              <w:t>Total</w:t>
            </w: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tcPr>
          <w:p>
            <w:pPr>
              <w:jc w:val="center"/>
              <w:ind w:right="31"/>
              <w:spacing w:after="0"/>
              <w:rPr>
                <w:sz w:val="20"/>
                <w:szCs w:val="20"/>
                <w:color w:val="auto"/>
              </w:rPr>
            </w:pPr>
            <w:r>
              <w:rPr>
                <w:rFonts w:ascii="Times New Roman" w:cs="Times New Roman" w:eastAsia="Times New Roman" w:hAnsi="Times New Roman"/>
                <w:sz w:val="13"/>
                <w:szCs w:val="13"/>
                <w:b w:val="1"/>
                <w:bCs w:val="1"/>
                <w:color w:val="auto"/>
                <w:w w:val="94"/>
              </w:rPr>
              <w:t>and Services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center"/>
              <w:ind w:right="70"/>
              <w:spacing w:after="0"/>
              <w:rPr>
                <w:sz w:val="20"/>
                <w:szCs w:val="20"/>
                <w:color w:val="auto"/>
              </w:rPr>
            </w:pPr>
            <w:r>
              <w:rPr>
                <w:rFonts w:ascii="Times New Roman" w:cs="Times New Roman" w:eastAsia="Times New Roman" w:hAnsi="Times New Roman"/>
                <w:sz w:val="13"/>
                <w:szCs w:val="13"/>
                <w:b w:val="1"/>
                <w:bCs w:val="1"/>
                <w:color w:val="auto"/>
                <w:w w:val="96"/>
              </w:rPr>
              <w:t>Equipment</w:t>
            </w: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gridSpan w:val="2"/>
          </w:tcPr>
          <w:p>
            <w:pPr>
              <w:jc w:val="right"/>
              <w:ind w:right="520"/>
              <w:spacing w:after="0"/>
              <w:rPr>
                <w:sz w:val="20"/>
                <w:szCs w:val="20"/>
                <w:color w:val="auto"/>
              </w:rPr>
            </w:pPr>
            <w:r>
              <w:rPr>
                <w:rFonts w:ascii="Times New Roman" w:cs="Times New Roman" w:eastAsia="Times New Roman" w:hAnsi="Times New Roman"/>
                <w:sz w:val="13"/>
                <w:szCs w:val="13"/>
                <w:b w:val="1"/>
                <w:bCs w:val="1"/>
                <w:color w:val="auto"/>
              </w:rPr>
              <w:t>Elims.</w:t>
            </w:r>
          </w:p>
        </w:tc>
        <w:tc>
          <w:tcPr>
            <w:tcW w:w="200" w:type="dxa"/>
            <w:vAlign w:val="bottom"/>
          </w:tcPr>
          <w:p>
            <w:pPr>
              <w:spacing w:after="0"/>
              <w:rPr>
                <w:sz w:val="14"/>
                <w:szCs w:val="14"/>
                <w:color w:val="auto"/>
              </w:rPr>
            </w:pPr>
          </w:p>
        </w:tc>
        <w:tc>
          <w:tcPr>
            <w:tcW w:w="840" w:type="dxa"/>
            <w:vAlign w:val="bottom"/>
            <w:gridSpan w:val="2"/>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171"/>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North America</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1,573</w:t>
            </w:r>
          </w:p>
        </w:tc>
        <w:tc>
          <w:tcPr>
            <w:tcW w:w="260" w:type="dxa"/>
            <w:vAlign w:val="bottom"/>
          </w:tcPr>
          <w:p>
            <w:pPr>
              <w:spacing w:after="0"/>
              <w:rPr>
                <w:sz w:val="14"/>
                <w:szCs w:val="14"/>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916</w:t>
            </w:r>
          </w:p>
        </w:tc>
        <w:tc>
          <w:tcPr>
            <w:tcW w:w="24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2,489</w:t>
            </w:r>
          </w:p>
        </w:tc>
        <w:tc>
          <w:tcPr>
            <w:tcW w:w="220" w:type="dxa"/>
            <w:vAlign w:val="bottom"/>
          </w:tcPr>
          <w:p>
            <w:pPr>
              <w:spacing w:after="0"/>
              <w:rPr>
                <w:sz w:val="14"/>
                <w:szCs w:val="14"/>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220" w:type="dxa"/>
            <w:vAlign w:val="bottom"/>
          </w:tcPr>
          <w:p>
            <w:pPr>
              <w:spacing w:after="0"/>
              <w:rPr>
                <w:sz w:val="14"/>
                <w:szCs w:val="14"/>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940</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4"/>
                <w:szCs w:val="14"/>
                <w:color w:val="auto"/>
              </w:rPr>
            </w:pPr>
          </w:p>
        </w:tc>
        <w:tc>
          <w:tcPr>
            <w:tcW w:w="200" w:type="dxa"/>
            <w:vAlign w:val="bottom"/>
            <w:tcBorders>
              <w:top w:val="single" w:sz="8" w:color="auto"/>
            </w:tcBorders>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2,456</w:t>
            </w:r>
          </w:p>
        </w:tc>
        <w:tc>
          <w:tcPr>
            <w:tcW w:w="100" w:type="dxa"/>
            <w:vAlign w:val="bottom"/>
          </w:tcPr>
          <w:p>
            <w:pPr>
              <w:spacing w:after="0"/>
              <w:rPr>
                <w:sz w:val="14"/>
                <w:szCs w:val="14"/>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International</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1,432</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2,641</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4,073</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1,403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2,381</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3,784</w:t>
            </w:r>
          </w:p>
        </w:tc>
        <w:tc>
          <w:tcPr>
            <w:tcW w:w="100" w:type="dxa"/>
            <w:vAlign w:val="bottom"/>
            <w:shd w:val="clear" w:color="auto" w:fill="CFF0FC"/>
          </w:tcPr>
          <w:p>
            <w:pPr>
              <w:spacing w:after="0"/>
              <w:rPr>
                <w:sz w:val="15"/>
                <w:szCs w:val="15"/>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(109 )</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(128 )</w:t>
            </w:r>
          </w:p>
        </w:tc>
        <w:tc>
          <w:tcPr>
            <w:tcW w:w="200" w:type="dxa"/>
            <w:vAlign w:val="bottom"/>
          </w:tcPr>
          <w:p>
            <w:pPr>
              <w:spacing w:after="0"/>
              <w:rPr>
                <w:sz w:val="15"/>
                <w:szCs w:val="15"/>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09"/>
        </w:trPr>
        <w:tc>
          <w:tcPr>
            <w:tcW w:w="2000" w:type="dxa"/>
            <w:vAlign w:val="bottom"/>
            <w:shd w:val="clear" w:color="auto" w:fill="CFF0FC"/>
          </w:tcPr>
          <w:p>
            <w:pPr>
              <w:spacing w:after="0"/>
              <w:rPr>
                <w:sz w:val="18"/>
                <w:szCs w:val="18"/>
                <w:color w:val="auto"/>
              </w:rPr>
            </w:pP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26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240" w:type="dxa"/>
            <w:vAlign w:val="bottom"/>
            <w:shd w:val="clear" w:color="auto" w:fill="CFF0FC"/>
          </w:tcPr>
          <w:p>
            <w:pPr>
              <w:spacing w:after="0"/>
              <w:rPr>
                <w:sz w:val="18"/>
                <w:szCs w:val="18"/>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(109 )</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6,562</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(128 )</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shd w:val="clear" w:color="auto" w:fill="CFF0FC"/>
          </w:tcPr>
          <w:p>
            <w:pPr>
              <w:spacing w:after="0"/>
              <w:rPr>
                <w:sz w:val="18"/>
                <w:szCs w:val="18"/>
                <w:color w:val="auto"/>
              </w:rPr>
            </w:pPr>
          </w:p>
        </w:tc>
      </w:tr>
      <w:tr>
        <w:trPr>
          <w:trHeight w:val="156"/>
        </w:trPr>
        <w:tc>
          <w:tcPr>
            <w:tcW w:w="200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4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Land</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2,310</w:t>
            </w:r>
          </w:p>
        </w:tc>
        <w:tc>
          <w:tcPr>
            <w:tcW w:w="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1,323</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3,633</w:t>
            </w:r>
          </w:p>
        </w:tc>
        <w:tc>
          <w:tcPr>
            <w:tcW w:w="3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2,165</w:t>
            </w:r>
          </w:p>
        </w:tc>
        <w:tc>
          <w:tcPr>
            <w:tcW w:w="3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1,363</w:t>
            </w:r>
          </w:p>
        </w:tc>
        <w:tc>
          <w:tcPr>
            <w:tcW w:w="420" w:type="dxa"/>
            <w:vAlign w:val="bottom"/>
            <w:gridSpan w:val="2"/>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3,528</w:t>
            </w:r>
          </w:p>
        </w:tc>
        <w:tc>
          <w:tcPr>
            <w:tcW w:w="100" w:type="dxa"/>
            <w:vAlign w:val="bottom"/>
            <w:shd w:val="clear" w:color="auto" w:fill="CFF0FC"/>
          </w:tcPr>
          <w:p>
            <w:pPr>
              <w:spacing w:after="0"/>
              <w:rPr>
                <w:sz w:val="15"/>
                <w:szCs w:val="15"/>
                <w:color w:val="auto"/>
              </w:rPr>
            </w:pPr>
          </w:p>
        </w:tc>
      </w:tr>
      <w:tr>
        <w:trPr>
          <w:trHeight w:val="175"/>
        </w:trPr>
        <w:tc>
          <w:tcPr>
            <w:tcW w:w="20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Offshore</w:t>
            </w: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695</w:t>
            </w: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2,234</w:t>
            </w: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2,929</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754</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1,958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6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5"/>
                <w:szCs w:val="15"/>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2,712</w:t>
            </w:r>
          </w:p>
        </w:tc>
        <w:tc>
          <w:tcPr>
            <w:tcW w:w="100" w:type="dxa"/>
            <w:vAlign w:val="bottom"/>
          </w:tcPr>
          <w:p>
            <w:pPr>
              <w:spacing w:after="0"/>
              <w:rPr>
                <w:sz w:val="15"/>
                <w:szCs w:val="15"/>
                <w:color w:val="auto"/>
              </w:rPr>
            </w:pPr>
          </w:p>
        </w:tc>
      </w:tr>
      <w:tr>
        <w:trPr>
          <w:trHeight w:val="175"/>
        </w:trPr>
        <w:tc>
          <w:tcPr>
            <w:tcW w:w="20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Eliminations</w:t>
            </w: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65</w:t>
            </w:r>
          </w:p>
        </w:tc>
        <w:tc>
          <w:tcPr>
            <w:tcW w:w="260" w:type="dxa"/>
            <w:vAlign w:val="bottom"/>
            <w:shd w:val="clear" w:color="auto" w:fill="CFF0FC"/>
          </w:tcPr>
          <w:p>
            <w:pPr>
              <w:spacing w:after="0"/>
              <w:rPr>
                <w:sz w:val="15"/>
                <w:szCs w:val="15"/>
                <w:color w:val="auto"/>
              </w:rPr>
            </w:pPr>
          </w:p>
        </w:tc>
        <w:tc>
          <w:tcPr>
            <w:tcW w:w="140" w:type="dxa"/>
            <w:vAlign w:val="bottom"/>
            <w:shd w:val="clear" w:color="auto" w:fill="CFF0FC"/>
          </w:tcPr>
          <w:p>
            <w:pPr>
              <w:spacing w:after="0"/>
              <w:rPr>
                <w:sz w:val="15"/>
                <w:szCs w:val="15"/>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w:t>
            </w:r>
          </w:p>
        </w:tc>
        <w:tc>
          <w:tcPr>
            <w:tcW w:w="24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(109 )</w:t>
            </w:r>
          </w:p>
        </w:tc>
        <w:tc>
          <w:tcPr>
            <w:tcW w:w="200" w:type="dxa"/>
            <w:vAlign w:val="bottom"/>
            <w:shd w:val="clear" w:color="auto" w:fill="CFF0FC"/>
          </w:tcPr>
          <w:p>
            <w:pPr>
              <w:spacing w:after="0"/>
              <w:rPr>
                <w:sz w:val="15"/>
                <w:szCs w:val="15"/>
                <w:color w:val="auto"/>
              </w:rPr>
            </w:pPr>
          </w:p>
        </w:tc>
        <w:tc>
          <w:tcPr>
            <w:tcW w:w="7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820" w:type="dxa"/>
            <w:vAlign w:val="bottom"/>
            <w:tcBorders>
              <w:right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9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(128 )</w:t>
            </w:r>
          </w:p>
        </w:tc>
        <w:tc>
          <w:tcPr>
            <w:tcW w:w="200" w:type="dxa"/>
            <w:vAlign w:val="bottom"/>
            <w:shd w:val="clear" w:color="auto" w:fill="CFF0FC"/>
          </w:tcPr>
          <w:p>
            <w:pPr>
              <w:spacing w:after="0"/>
              <w:rPr>
                <w:sz w:val="15"/>
                <w:szCs w:val="15"/>
                <w:color w:val="auto"/>
              </w:rPr>
            </w:pPr>
          </w:p>
        </w:tc>
        <w:tc>
          <w:tcPr>
            <w:tcW w:w="84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r>
      <w:tr>
        <w:trPr>
          <w:trHeight w:val="20"/>
        </w:trPr>
        <w:tc>
          <w:tcPr>
            <w:tcW w:w="200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169"/>
        </w:trPr>
        <w:tc>
          <w:tcPr>
            <w:tcW w:w="20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3,070</w:t>
            </w:r>
          </w:p>
        </w:tc>
        <w:tc>
          <w:tcPr>
            <w:tcW w:w="26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3,601</w:t>
            </w:r>
          </w:p>
        </w:tc>
        <w:tc>
          <w:tcPr>
            <w:tcW w:w="240" w:type="dxa"/>
            <w:vAlign w:val="bottom"/>
          </w:tcPr>
          <w:p>
            <w:pPr>
              <w:spacing w:after="0"/>
              <w:rPr>
                <w:sz w:val="14"/>
                <w:szCs w:val="14"/>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(109 )</w:t>
            </w:r>
          </w:p>
        </w:tc>
        <w:tc>
          <w:tcPr>
            <w:tcW w:w="2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6,562</w:t>
            </w:r>
          </w:p>
        </w:tc>
        <w:tc>
          <w:tcPr>
            <w:tcW w:w="3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3,004</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3,364</w:t>
            </w:r>
          </w:p>
        </w:tc>
        <w:tc>
          <w:tcPr>
            <w:tcW w:w="420" w:type="dxa"/>
            <w:vAlign w:val="bottom"/>
            <w:gridSpan w:val="2"/>
          </w:tcPr>
          <w:p>
            <w:pPr>
              <w:jc w:val="right"/>
              <w:ind w:right="48"/>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(128 )</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6,240</w:t>
            </w:r>
          </w:p>
        </w:tc>
        <w:tc>
          <w:tcPr>
            <w:tcW w:w="100" w:type="dxa"/>
            <w:vAlign w:val="bottom"/>
          </w:tcPr>
          <w:p>
            <w:pPr>
              <w:spacing w:after="0"/>
              <w:rPr>
                <w:sz w:val="14"/>
                <w:szCs w:val="14"/>
                <w:color w:val="auto"/>
              </w:rPr>
            </w:pPr>
          </w:p>
        </w:tc>
      </w:tr>
      <w:tr>
        <w:trPr>
          <w:trHeight w:val="20"/>
        </w:trPr>
        <w:tc>
          <w:tcPr>
            <w:tcW w:w="20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1871345</wp:posOffset>
            </wp:positionH>
            <wp:positionV relativeFrom="paragraph">
              <wp:posOffset>-2559685</wp:posOffset>
            </wp:positionV>
            <wp:extent cx="7683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-2559685</wp:posOffset>
            </wp:positionV>
            <wp:extent cx="7683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-2559685</wp:posOffset>
            </wp:positionV>
            <wp:extent cx="6858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-2559685</wp:posOffset>
            </wp:positionV>
            <wp:extent cx="6858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-2559685</wp:posOffset>
            </wp:positionV>
            <wp:extent cx="6858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-2559685</wp:posOffset>
            </wp:positionV>
            <wp:extent cx="6858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-2559685</wp:posOffset>
            </wp:positionV>
            <wp:extent cx="6858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-2559685</wp:posOffset>
            </wp:positionV>
            <wp:extent cx="6858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-1849120</wp:posOffset>
            </wp:positionV>
            <wp:extent cx="7683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-1831975</wp:posOffset>
            </wp:positionV>
            <wp:extent cx="76835"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-1849120</wp:posOffset>
            </wp:positionV>
            <wp:extent cx="7683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-1831975</wp:posOffset>
            </wp:positionV>
            <wp:extent cx="76835"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-1849120</wp:posOffset>
            </wp:positionV>
            <wp:extent cx="6858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-1831975</wp:posOffset>
            </wp:positionV>
            <wp:extent cx="6858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-1849120</wp:posOffset>
            </wp:positionV>
            <wp:extent cx="6858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-1831975</wp:posOffset>
            </wp:positionV>
            <wp:extent cx="6858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-1849120</wp:posOffset>
            </wp:positionV>
            <wp:extent cx="6858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-1831975</wp:posOffset>
            </wp:positionV>
            <wp:extent cx="6858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-1849120</wp:posOffset>
            </wp:positionV>
            <wp:extent cx="6858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-1831975</wp:posOffset>
            </wp:positionV>
            <wp:extent cx="6858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-1849120</wp:posOffset>
            </wp:positionV>
            <wp:extent cx="6858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-1831975</wp:posOffset>
            </wp:positionV>
            <wp:extent cx="6858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-1849120</wp:posOffset>
            </wp:positionV>
            <wp:extent cx="6858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-1831975</wp:posOffset>
            </wp:positionV>
            <wp:extent cx="6858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-615950</wp:posOffset>
            </wp:positionV>
            <wp:extent cx="7683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-598805</wp:posOffset>
            </wp:positionV>
            <wp:extent cx="7683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-615950</wp:posOffset>
            </wp:positionV>
            <wp:extent cx="7683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-598805</wp:posOffset>
            </wp:positionV>
            <wp:extent cx="7683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-615950</wp:posOffset>
            </wp:positionV>
            <wp:extent cx="6858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-598805</wp:posOffset>
            </wp:positionV>
            <wp:extent cx="6858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-615950</wp:posOffset>
            </wp:positionV>
            <wp:extent cx="6858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-598805</wp:posOffset>
            </wp:positionV>
            <wp:extent cx="6858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-615950</wp:posOffset>
            </wp:positionV>
            <wp:extent cx="6858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-598805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-615950</wp:posOffset>
            </wp:positionV>
            <wp:extent cx="6858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-598805</wp:posOffset>
            </wp:positionV>
            <wp:extent cx="6858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-615950</wp:posOffset>
            </wp:positionV>
            <wp:extent cx="6858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-598805</wp:posOffset>
            </wp:positionV>
            <wp:extent cx="6858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-615950</wp:posOffset>
            </wp:positionV>
            <wp:extent cx="6858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1871345</wp:posOffset>
            </wp:positionH>
            <wp:positionV relativeFrom="paragraph">
              <wp:posOffset>-144780</wp:posOffset>
            </wp:positionV>
            <wp:extent cx="768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2642235</wp:posOffset>
            </wp:positionH>
            <wp:positionV relativeFrom="paragraph">
              <wp:posOffset>-144780</wp:posOffset>
            </wp:positionV>
            <wp:extent cx="7683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3387090</wp:posOffset>
            </wp:positionH>
            <wp:positionV relativeFrom="paragraph">
              <wp:posOffset>-144780</wp:posOffset>
            </wp:positionV>
            <wp:extent cx="6858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4123690</wp:posOffset>
            </wp:positionH>
            <wp:positionV relativeFrom="paragraph">
              <wp:posOffset>-144780</wp:posOffset>
            </wp:positionV>
            <wp:extent cx="6858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4859655</wp:posOffset>
            </wp:positionH>
            <wp:positionV relativeFrom="paragraph">
              <wp:posOffset>-144780</wp:posOffset>
            </wp:positionV>
            <wp:extent cx="6858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-144780</wp:posOffset>
            </wp:positionV>
            <wp:extent cx="6858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6332855</wp:posOffset>
            </wp:positionH>
            <wp:positionV relativeFrom="paragraph">
              <wp:posOffset>-144780</wp:posOffset>
            </wp:positionV>
            <wp:extent cx="6858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-144780</wp:posOffset>
            </wp:positionV>
            <wp:extent cx="6858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Net revenue recognized from performance obligations satisfied in previous periods was immaterial for the three months ended September 30, 2024 primarily due to change orders.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Remaining performance obligations represent the transaction price of firm orders for all revenue streams for which work has not been performed on contracts with original expected duration of one year or more. We do not disclose the remaining performance obligations of royalty contracts, service contracts for which there is a right to invoice, and short-term contracts that are expected to have a duration of one year or less. As of September 30, 2024, the aggregate amount of the transaction price allocated to remaining performance obligations was $4,836 million. Although numerous factors can affect timing of revenue recognized on performance obligations, such as customer change orders and supplier accelerations or delays, the Company expects to recognize approximately $431 million in revenue for the remaining performance obligations in the remainder of 2024, $1,538 million in 2025, $1,082 million in 2026, and $1,785 million thereafter.</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Assets and Liabilities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Contract assets include unbilled amounts when revenue recognized exceeds the amount billed to the customer under contracts where revenue is recognized over time. Contract liabilities consist of customer billings in excess of revenue recognized under over-time contracts, customer advance payments and deferred revenue.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contract assets and contract liabilities are as follows (in millions):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2160" w:type="dxa"/>
            <w:vAlign w:val="bottom"/>
          </w:tcPr>
          <w:p>
            <w:pPr>
              <w:spacing w:after="0"/>
              <w:rPr>
                <w:sz w:val="13"/>
                <w:szCs w:val="13"/>
                <w:color w:val="auto"/>
              </w:rPr>
            </w:pPr>
          </w:p>
        </w:tc>
        <w:tc>
          <w:tcPr>
            <w:tcW w:w="1500" w:type="dxa"/>
            <w:vAlign w:val="bottom"/>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Contract</w:t>
            </w:r>
          </w:p>
        </w:tc>
        <w:tc>
          <w:tcPr>
            <w:tcW w:w="6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780" w:type="dxa"/>
            <w:vAlign w:val="bottom"/>
            <w:gridSpan w:val="2"/>
          </w:tcPr>
          <w:p>
            <w:pPr>
              <w:jc w:val="right"/>
              <w:ind w:right="880"/>
              <w:spacing w:after="0"/>
              <w:rPr>
                <w:sz w:val="20"/>
                <w:szCs w:val="20"/>
                <w:color w:val="auto"/>
              </w:rPr>
            </w:pPr>
            <w:r>
              <w:rPr>
                <w:rFonts w:ascii="Times New Roman" w:cs="Times New Roman" w:eastAsia="Times New Roman" w:hAnsi="Times New Roman"/>
                <w:sz w:val="14"/>
                <w:szCs w:val="14"/>
                <w:b w:val="1"/>
                <w:bCs w:val="1"/>
                <w:color w:val="auto"/>
              </w:rPr>
              <w:t>Contract</w:t>
            </w:r>
          </w:p>
        </w:tc>
      </w:tr>
      <w:tr>
        <w:trPr>
          <w:trHeight w:val="187"/>
        </w:trPr>
        <w:tc>
          <w:tcPr>
            <w:tcW w:w="4420" w:type="dxa"/>
            <w:vAlign w:val="bottom"/>
          </w:tcPr>
          <w:p>
            <w:pPr>
              <w:spacing w:after="0"/>
              <w:rPr>
                <w:sz w:val="16"/>
                <w:szCs w:val="16"/>
                <w:color w:val="auto"/>
              </w:rPr>
            </w:pPr>
          </w:p>
        </w:tc>
        <w:tc>
          <w:tcPr>
            <w:tcW w:w="2160" w:type="dxa"/>
            <w:vAlign w:val="bottom"/>
          </w:tcPr>
          <w:p>
            <w:pPr>
              <w:spacing w:after="0"/>
              <w:rPr>
                <w:sz w:val="16"/>
                <w:szCs w:val="16"/>
                <w:color w:val="auto"/>
              </w:rPr>
            </w:pPr>
          </w:p>
        </w:tc>
        <w:tc>
          <w:tcPr>
            <w:tcW w:w="1500" w:type="dxa"/>
            <w:vAlign w:val="bottom"/>
            <w:tcBorders>
              <w:bottom w:val="single" w:sz="8" w:color="auto"/>
            </w:tcBorders>
          </w:tcPr>
          <w:p>
            <w:pPr>
              <w:jc w:val="right"/>
              <w:ind w:right="162"/>
              <w:spacing w:after="0"/>
              <w:rPr>
                <w:sz w:val="20"/>
                <w:szCs w:val="20"/>
                <w:color w:val="auto"/>
              </w:rPr>
            </w:pPr>
            <w:r>
              <w:rPr>
                <w:rFonts w:ascii="Times New Roman" w:cs="Times New Roman" w:eastAsia="Times New Roman" w:hAnsi="Times New Roman"/>
                <w:sz w:val="14"/>
                <w:szCs w:val="14"/>
                <w:b w:val="1"/>
                <w:bCs w:val="1"/>
                <w:color w:val="auto"/>
              </w:rPr>
              <w:t>Assets</w:t>
            </w:r>
          </w:p>
        </w:tc>
        <w:tc>
          <w:tcPr>
            <w:tcW w:w="6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655"/>
              <w:spacing w:after="0"/>
              <w:rPr>
                <w:sz w:val="20"/>
                <w:szCs w:val="20"/>
                <w:color w:val="auto"/>
              </w:rPr>
            </w:pPr>
            <w:r>
              <w:rPr>
                <w:rFonts w:ascii="Times New Roman" w:cs="Times New Roman" w:eastAsia="Times New Roman" w:hAnsi="Times New Roman"/>
                <w:sz w:val="14"/>
                <w:szCs w:val="14"/>
                <w:b w:val="1"/>
                <w:bCs w:val="1"/>
                <w:color w:val="auto"/>
              </w:rPr>
              <w:t>Liabilities</w:t>
            </w:r>
          </w:p>
        </w:tc>
        <w:tc>
          <w:tcPr>
            <w:tcW w:w="100" w:type="dxa"/>
            <w:vAlign w:val="bottom"/>
          </w:tcPr>
          <w:p>
            <w:pPr>
              <w:spacing w:after="0"/>
              <w:rPr>
                <w:sz w:val="16"/>
                <w:szCs w:val="16"/>
                <w:color w:val="auto"/>
              </w:rPr>
            </w:pPr>
          </w:p>
        </w:tc>
      </w:tr>
      <w:tr>
        <w:trPr>
          <w:trHeight w:val="236"/>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3660" w:type="dxa"/>
            <w:vAlign w:val="bottom"/>
            <w:gridSpan w:val="2"/>
            <w:shd w:val="clear" w:color="auto" w:fill="CFF0FC"/>
          </w:tcPr>
          <w:p>
            <w:pPr>
              <w:jc w:val="right"/>
              <w:ind w:right="13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340" w:type="dxa"/>
            <w:vAlign w:val="bottom"/>
            <w:shd w:val="clear" w:color="auto" w:fill="CFF0FC"/>
          </w:tcPr>
          <w:p>
            <w:pPr>
              <w:spacing w:after="0"/>
              <w:rPr>
                <w:sz w:val="20"/>
                <w:szCs w:val="20"/>
                <w:color w:val="auto"/>
              </w:rPr>
            </w:pPr>
          </w:p>
        </w:tc>
        <w:tc>
          <w:tcPr>
            <w:tcW w:w="420" w:type="dxa"/>
            <w:vAlign w:val="bottom"/>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532</w:t>
            </w:r>
          </w:p>
        </w:tc>
        <w:tc>
          <w:tcPr>
            <w:tcW w:w="100" w:type="dxa"/>
            <w:vAlign w:val="bottom"/>
            <w:shd w:val="clear" w:color="auto" w:fill="CFF0FC"/>
          </w:tcPr>
          <w:p>
            <w:pPr>
              <w:spacing w:after="0"/>
              <w:rPr>
                <w:sz w:val="20"/>
                <w:szCs w:val="20"/>
                <w:color w:val="auto"/>
              </w:rPr>
            </w:pPr>
          </w:p>
        </w:tc>
      </w:tr>
      <w:tr>
        <w:trPr>
          <w:trHeight w:val="238"/>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Billings</w:t>
            </w: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(1,148 )</w:t>
            </w:r>
          </w:p>
        </w:tc>
        <w:tc>
          <w:tcPr>
            <w:tcW w:w="420" w:type="dxa"/>
            <w:vAlign w:val="bottom"/>
          </w:tcPr>
          <w:p>
            <w:pPr>
              <w:spacing w:after="0"/>
              <w:rPr>
                <w:sz w:val="20"/>
                <w:szCs w:val="20"/>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w:t>
            </w:r>
          </w:p>
        </w:tc>
        <w:tc>
          <w:tcPr>
            <w:tcW w:w="100" w:type="dxa"/>
            <w:vAlign w:val="bottom"/>
          </w:tcPr>
          <w:p>
            <w:pPr>
              <w:spacing w:after="0"/>
              <w:rPr>
                <w:sz w:val="20"/>
                <w:szCs w:val="20"/>
                <w:color w:val="auto"/>
              </w:rPr>
            </w:pPr>
          </w:p>
        </w:tc>
      </w:tr>
      <w:tr>
        <w:trPr>
          <w:trHeight w:val="247"/>
        </w:trPr>
        <w:tc>
          <w:tcPr>
            <w:tcW w:w="44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Revenue recognized</w:t>
            </w:r>
          </w:p>
        </w:tc>
        <w:tc>
          <w:tcPr>
            <w:tcW w:w="2160" w:type="dxa"/>
            <w:vAlign w:val="bottom"/>
            <w:shd w:val="clear" w:color="auto" w:fill="CFF0FC"/>
          </w:tcPr>
          <w:p>
            <w:pPr>
              <w:spacing w:after="0"/>
              <w:rPr>
                <w:sz w:val="21"/>
                <w:szCs w:val="21"/>
                <w:color w:val="auto"/>
              </w:rPr>
            </w:pPr>
          </w:p>
        </w:tc>
        <w:tc>
          <w:tcPr>
            <w:tcW w:w="1500" w:type="dxa"/>
            <w:vAlign w:val="bottom"/>
            <w:shd w:val="clear" w:color="auto" w:fill="CFF0FC"/>
          </w:tcPr>
          <w:p>
            <w:pPr>
              <w:spacing w:after="0"/>
              <w:rPr>
                <w:sz w:val="21"/>
                <w:szCs w:val="21"/>
                <w:color w:val="auto"/>
              </w:rPr>
            </w:pPr>
          </w:p>
        </w:tc>
        <w:tc>
          <w:tcPr>
            <w:tcW w:w="6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1,137</w:t>
            </w:r>
          </w:p>
        </w:tc>
        <w:tc>
          <w:tcPr>
            <w:tcW w:w="3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1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(906 )</w:t>
            </w:r>
          </w:p>
        </w:tc>
      </w:tr>
      <w:tr>
        <w:trPr>
          <w:trHeight w:val="238"/>
        </w:trPr>
        <w:tc>
          <w:tcPr>
            <w:tcW w:w="44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Currency translation adjustments and other</w:t>
            </w:r>
          </w:p>
        </w:tc>
        <w:tc>
          <w:tcPr>
            <w:tcW w:w="216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(44 )</w:t>
            </w:r>
          </w:p>
        </w:tc>
        <w:tc>
          <w:tcPr>
            <w:tcW w:w="420" w:type="dxa"/>
            <w:vAlign w:val="bottom"/>
          </w:tcPr>
          <w:p>
            <w:pPr>
              <w:spacing w:after="0"/>
              <w:rPr>
                <w:sz w:val="20"/>
                <w:szCs w:val="20"/>
                <w:color w:val="auto"/>
              </w:rPr>
            </w:pPr>
          </w:p>
        </w:tc>
        <w:tc>
          <w:tcPr>
            <w:tcW w:w="1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r>
      <w:tr>
        <w:trPr>
          <w:trHeight w:val="276"/>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160" w:type="dxa"/>
            <w:vAlign w:val="bottom"/>
            <w:tcBorders>
              <w:bottom w:val="single" w:sz="8" w:color="CFF0FC"/>
            </w:tcBorders>
            <w:shd w:val="clear" w:color="auto" w:fill="CFF0FC"/>
          </w:tcPr>
          <w:p>
            <w:pPr>
              <w:spacing w:after="0"/>
              <w:rPr>
                <w:sz w:val="24"/>
                <w:szCs w:val="24"/>
                <w:color w:val="auto"/>
              </w:rPr>
            </w:pPr>
          </w:p>
        </w:tc>
        <w:tc>
          <w:tcPr>
            <w:tcW w:w="1500" w:type="dxa"/>
            <w:vAlign w:val="bottom"/>
            <w:tcBorders>
              <w:top w:val="single" w:sz="8" w:color="auto"/>
              <w:bottom w:val="single" w:sz="8" w:color="auto"/>
            </w:tcBorders>
            <w:shd w:val="clear" w:color="auto" w:fill="CFF0FC"/>
          </w:tcPr>
          <w:p>
            <w:pPr>
              <w:jc w:val="right"/>
              <w:ind w:right="1302"/>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684</w:t>
            </w:r>
          </w:p>
        </w:tc>
        <w:tc>
          <w:tcPr>
            <w:tcW w:w="340" w:type="dxa"/>
            <w:vAlign w:val="bottom"/>
            <w:tcBorders>
              <w:bottom w:val="single" w:sz="8" w:color="CFF0FC"/>
            </w:tcBorders>
            <w:shd w:val="clear" w:color="auto" w:fill="CFF0FC"/>
          </w:tcPr>
          <w:p>
            <w:pPr>
              <w:spacing w:after="0"/>
              <w:rPr>
                <w:sz w:val="24"/>
                <w:szCs w:val="24"/>
                <w:color w:val="auto"/>
              </w:rPr>
            </w:pPr>
          </w:p>
        </w:tc>
        <w:tc>
          <w:tcPr>
            <w:tcW w:w="420" w:type="dxa"/>
            <w:vAlign w:val="bottom"/>
            <w:tcBorders>
              <w:top w:val="single" w:sz="8" w:color="auto"/>
              <w:bottom w:val="single" w:sz="8" w:color="auto"/>
            </w:tcBorders>
            <w:shd w:val="clear" w:color="auto" w:fill="CFF0FC"/>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632"/>
        </w:trPr>
        <w:tc>
          <w:tcPr>
            <w:tcW w:w="4420" w:type="dxa"/>
            <w:vAlign w:val="bottom"/>
          </w:tcPr>
          <w:p>
            <w:pPr>
              <w:spacing w:after="0"/>
              <w:rPr>
                <w:sz w:val="24"/>
                <w:szCs w:val="24"/>
                <w:color w:val="auto"/>
              </w:rPr>
            </w:pPr>
          </w:p>
        </w:tc>
        <w:tc>
          <w:tcPr>
            <w:tcW w:w="2160" w:type="dxa"/>
            <w:vAlign w:val="bottom"/>
          </w:tcPr>
          <w:p>
            <w:pPr>
              <w:jc w:val="right"/>
              <w:ind w:right="770"/>
              <w:spacing w:after="0"/>
              <w:rPr>
                <w:sz w:val="20"/>
                <w:szCs w:val="20"/>
                <w:color w:val="auto"/>
              </w:rPr>
            </w:pPr>
            <w:r>
              <w:rPr>
                <w:rFonts w:ascii="Times New Roman" w:cs="Times New Roman" w:eastAsia="Times New Roman" w:hAnsi="Times New Roman"/>
                <w:sz w:val="18"/>
                <w:szCs w:val="18"/>
                <w:color w:val="auto"/>
              </w:rPr>
              <w:t>10</w:t>
            </w:r>
          </w:p>
        </w:tc>
        <w:tc>
          <w:tcPr>
            <w:tcW w:w="15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4420" w:type="dxa"/>
            <w:vAlign w:val="bottom"/>
            <w:tcBorders>
              <w:bottom w:val="single" w:sz="8" w:color="9A9A9A"/>
            </w:tcBorders>
          </w:tcPr>
          <w:p>
            <w:pPr>
              <w:spacing w:after="0"/>
              <w:rPr>
                <w:sz w:val="24"/>
                <w:szCs w:val="24"/>
                <w:color w:val="auto"/>
              </w:rPr>
            </w:pPr>
          </w:p>
        </w:tc>
        <w:tc>
          <w:tcPr>
            <w:tcW w:w="216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5527675</wp:posOffset>
            </wp:positionH>
            <wp:positionV relativeFrom="paragraph">
              <wp:posOffset>-932815</wp:posOffset>
            </wp:positionV>
            <wp:extent cx="7683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-915670</wp:posOffset>
            </wp:positionV>
            <wp:extent cx="7683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Royalty Revenue</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recognizes royalty revenue due under various licenses for the Company's intellectual property, including for technology related to drill bits. The Company recognized revenue for drill bit licenses of approximately $17 million and $50 million for the three and nine months ended September 30, 2024, and $21 million and $62 million for the three and nine months ended September 30, 2023. The Company is currently pursuing litigation against certain non-paying licensees, which will impact our ability to collect the receivables timely. As such, revenue and the related receivables are recorded at a discount to reflect the delayed timing of future cash collections. As of September 30, 2024, the receivables of $109 million, net of allowances of $21 million for credit losses and $16 million for the remaining timing related discount, are included in Other assets on the Consolidated Balance Sheets. These allowances do not impact the amount the Company is entitled to recover on its claims from the licensees in litigation. While we continue to believe it is probable the Company will collect all or substantially all of the consideration to which it is entitled pursuant to the terms of the licensing agreements, the Company will also continue to evaluate the credit quality of the receivables. See Note 15 for discussion of the ongoing litigation.</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Credit Losses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estimates its allowance for credit losses using information about past events, current conditions and risk characteristics of each customer, and reasonable and supportable forecasts relevant to assessing risk associated with the collectability of receivables and contract assets. The Company’s customer base, mostly in the oil and gas industry, have generally similar collectability risk characteristics, although larger and state-owned customers may have lower risk than smaller independent customers. As of September 30, 2024, the allowance for credit losses totaled $69 million.</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changes in the carrying amount of the allowance for credit losses are as follows (in millions):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92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00" w:type="dxa"/>
            <w:vAlign w:val="bottom"/>
            <w:shd w:val="clear" w:color="auto" w:fill="CFF0FC"/>
          </w:tcPr>
          <w:p>
            <w:pPr>
              <w:spacing w:after="0"/>
              <w:rPr>
                <w:sz w:val="21"/>
                <w:szCs w:val="21"/>
                <w:color w:val="auto"/>
              </w:rPr>
            </w:pP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expected credit losses</w:t>
            </w:r>
          </w:p>
        </w:tc>
        <w:tc>
          <w:tcPr>
            <w:tcW w:w="8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Pr>
          <w:p>
            <w:pPr>
              <w:spacing w:after="0"/>
              <w:rPr>
                <w:sz w:val="20"/>
                <w:szCs w:val="20"/>
                <w:color w:val="auto"/>
              </w:rPr>
            </w:pP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Recoveries collected</w:t>
            </w:r>
          </w:p>
        </w:tc>
        <w:tc>
          <w:tcPr>
            <w:tcW w:w="8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(11 )</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Reclass for long-term receivables</w:t>
            </w:r>
          </w:p>
        </w:tc>
        <w:tc>
          <w:tcPr>
            <w:tcW w:w="8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(12 )</w:t>
            </w:r>
          </w:p>
        </w:tc>
      </w:tr>
      <w:tr>
        <w:trPr>
          <w:trHeight w:val="247"/>
        </w:trPr>
        <w:tc>
          <w:tcPr>
            <w:tcW w:w="92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Writeoffs</w:t>
            </w:r>
          </w:p>
        </w:tc>
        <w:tc>
          <w:tcPr>
            <w:tcW w:w="880" w:type="dxa"/>
            <w:vAlign w:val="bottom"/>
            <w:shd w:val="clear" w:color="auto" w:fill="CFF0FC"/>
          </w:tcPr>
          <w:p>
            <w:pPr>
              <w:spacing w:after="0"/>
              <w:rPr>
                <w:sz w:val="21"/>
                <w:szCs w:val="21"/>
                <w:color w:val="auto"/>
              </w:rPr>
            </w:pPr>
          </w:p>
        </w:tc>
        <w:tc>
          <w:tcPr>
            <w:tcW w:w="112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r>
      <w:tr>
        <w:trPr>
          <w:trHeight w:val="238"/>
        </w:trPr>
        <w:tc>
          <w:tcPr>
            <w:tcW w:w="92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w:t>
            </w:r>
          </w:p>
        </w:tc>
        <w:tc>
          <w:tcPr>
            <w:tcW w:w="880" w:type="dxa"/>
            <w:vAlign w:val="bottom"/>
          </w:tcPr>
          <w:p>
            <w:pPr>
              <w:spacing w:after="0"/>
              <w:rPr>
                <w:sz w:val="20"/>
                <w:szCs w:val="20"/>
                <w:color w:val="auto"/>
              </w:rPr>
            </w:pPr>
          </w:p>
        </w:tc>
        <w:tc>
          <w:tcPr>
            <w:tcW w:w="11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(1 )</w:t>
            </w:r>
          </w:p>
        </w:tc>
      </w:tr>
      <w:tr>
        <w:trPr>
          <w:trHeight w:val="276"/>
        </w:trPr>
        <w:tc>
          <w:tcPr>
            <w:tcW w:w="92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80" w:type="dxa"/>
            <w:vAlign w:val="bottom"/>
            <w:tcBorders>
              <w:top w:val="single" w:sz="8" w:color="auto"/>
              <w:bottom w:val="single" w:sz="8" w:color="auto"/>
            </w:tcBorders>
            <w:shd w:val="clear" w:color="auto" w:fill="CFF0FC"/>
          </w:tcPr>
          <w:p>
            <w:pPr>
              <w:jc w:val="right"/>
              <w:ind w:right="6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ind w:left="360" w:hanging="352"/>
        <w:spacing w:after="0"/>
        <w:tabs>
          <w:tab w:leader="none" w:pos="36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leases certain facilities and equipment to support its operations around the world. These leases generally require the Company to pay maintenance, insurance, taxes and other operating costs in addition to rent. Renewal options are common in longer-term leases; however, it is rare that the Company initially intends that a lease option will be exercised due to the cyclical nature of the Company’s business. Residual value guarantees are not typically part of the Company’s leases. Occasionally, the Company subleases excess facility space, generally at terms similar to the source lease. The Company reviews agreements at inception to determine if they include a lease and, when they do, uses its incremental borrowing rate to determine the present value of the future lease payments as most do not include implicit interest rates.</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Components of leases are as follows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41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2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87"/>
        </w:trPr>
        <w:tc>
          <w:tcPr>
            <w:tcW w:w="4140" w:type="dxa"/>
            <w:vAlign w:val="bottom"/>
          </w:tcPr>
          <w:p>
            <w:pPr>
              <w:spacing w:after="0"/>
              <w:rPr>
                <w:sz w:val="16"/>
                <w:szCs w:val="16"/>
                <w:color w:val="auto"/>
              </w:rPr>
            </w:pPr>
          </w:p>
        </w:tc>
        <w:tc>
          <w:tcPr>
            <w:tcW w:w="4840" w:type="dxa"/>
            <w:vAlign w:val="bottom"/>
            <w:gridSpan w:val="2"/>
          </w:tcPr>
          <w:p>
            <w:pPr>
              <w:jc w:val="center"/>
              <w:ind w:left="38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Current portion of lease liabilities:</w:t>
            </w:r>
          </w:p>
        </w:tc>
        <w:tc>
          <w:tcPr>
            <w:tcW w:w="358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9"/>
              </w:rPr>
              <w:t>Operating</w:t>
            </w:r>
          </w:p>
        </w:tc>
        <w:tc>
          <w:tcPr>
            <w:tcW w:w="4840" w:type="dxa"/>
            <w:vAlign w:val="bottom"/>
            <w:gridSpan w:val="2"/>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shd w:val="clear" w:color="auto" w:fill="CFF0FC"/>
          </w:tcPr>
          <w:p>
            <w:pPr>
              <w:jc w:val="center"/>
              <w:ind w:right="2930"/>
              <w:spacing w:after="0"/>
              <w:rPr>
                <w:sz w:val="20"/>
                <w:szCs w:val="20"/>
                <w:color w:val="auto"/>
              </w:rPr>
            </w:pPr>
            <w:r>
              <w:rPr>
                <w:rFonts w:ascii="Times New Roman" w:cs="Times New Roman" w:eastAsia="Times New Roman" w:hAnsi="Times New Roman"/>
                <w:sz w:val="18"/>
                <w:szCs w:val="18"/>
                <w:color w:val="auto"/>
                <w:w w:val="99"/>
              </w:rPr>
              <w:t>Financing</w:t>
            </w:r>
          </w:p>
        </w:tc>
        <w:tc>
          <w:tcPr>
            <w:tcW w:w="35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4"/>
              </w:rPr>
              <w:t>Total</w:t>
            </w:r>
          </w:p>
        </w:tc>
        <w:tc>
          <w:tcPr>
            <w:tcW w:w="3580" w:type="dxa"/>
            <w:vAlign w:val="bottom"/>
          </w:tcPr>
          <w:p>
            <w:pPr>
              <w:spacing w:after="0"/>
              <w:rPr>
                <w:sz w:val="20"/>
                <w:szCs w:val="20"/>
                <w:color w:val="auto"/>
              </w:rPr>
            </w:pPr>
          </w:p>
        </w:tc>
        <w:tc>
          <w:tcPr>
            <w:tcW w:w="1260" w:type="dxa"/>
            <w:vAlign w:val="bottom"/>
            <w:tcBorders>
              <w:bottom w:val="single" w:sz="8" w:color="auto"/>
            </w:tcBorders>
          </w:tcPr>
          <w:p>
            <w:pPr>
              <w:jc w:val="right"/>
              <w:ind w:right="1082"/>
              <w:spacing w:after="0"/>
              <w:rPr>
                <w:sz w:val="20"/>
                <w:szCs w:val="20"/>
                <w:color w:val="auto"/>
              </w:rPr>
            </w:pPr>
            <w:r>
              <w:rPr>
                <w:rFonts w:ascii="Times New Roman" w:cs="Times New Roman" w:eastAsia="Times New Roman" w:hAnsi="Times New Roman"/>
                <w:sz w:val="18"/>
                <w:szCs w:val="18"/>
                <w:color w:val="auto"/>
                <w:w w:val="88"/>
              </w:rPr>
              <w:t>$</w:t>
            </w: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2"/>
        </w:trPr>
        <w:tc>
          <w:tcPr>
            <w:tcW w:w="414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260" w:type="dxa"/>
            <w:vAlign w:val="bottom"/>
          </w:tcPr>
          <w:p>
            <w:pPr>
              <w:jc w:val="center"/>
              <w:ind w:left="242"/>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2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228"/>
        </w:trPr>
        <w:tc>
          <w:tcPr>
            <w:tcW w:w="4140" w:type="dxa"/>
            <w:vAlign w:val="bottom"/>
          </w:tcPr>
          <w:p>
            <w:pPr>
              <w:spacing w:after="0"/>
              <w:rPr>
                <w:sz w:val="19"/>
                <w:szCs w:val="19"/>
                <w:color w:val="auto"/>
              </w:rPr>
            </w:pPr>
          </w:p>
        </w:tc>
        <w:tc>
          <w:tcPr>
            <w:tcW w:w="4840" w:type="dxa"/>
            <w:vAlign w:val="bottom"/>
            <w:gridSpan w:val="2"/>
          </w:tcPr>
          <w:p>
            <w:pPr>
              <w:jc w:val="center"/>
              <w:ind w:left="38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2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1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i w:val="1"/>
                <w:iCs w:val="1"/>
                <w:color w:val="auto"/>
              </w:rPr>
              <w:t>Long-term portion of lease liabilities:</w:t>
            </w:r>
          </w:p>
        </w:tc>
        <w:tc>
          <w:tcPr>
            <w:tcW w:w="3580" w:type="dxa"/>
            <w:vAlign w:val="bottom"/>
            <w:shd w:val="clear" w:color="auto" w:fill="CFF0FC"/>
          </w:tcPr>
          <w:p>
            <w:pPr>
              <w:spacing w:after="0"/>
              <w:rPr>
                <w:sz w:val="20"/>
                <w:szCs w:val="20"/>
                <w:color w:val="auto"/>
              </w:rPr>
            </w:pPr>
          </w:p>
        </w:tc>
        <w:tc>
          <w:tcPr>
            <w:tcW w:w="1260" w:type="dxa"/>
            <w:vAlign w:val="bottom"/>
            <w:tcBorders>
              <w:top w:val="single" w:sz="8" w:color="auto"/>
            </w:tcBorders>
            <w:shd w:val="clear" w:color="auto" w:fill="CFF0FC"/>
          </w:tcPr>
          <w:p>
            <w:pPr>
              <w:spacing w:after="0"/>
              <w:rPr>
                <w:sz w:val="20"/>
                <w:szCs w:val="20"/>
                <w:color w:val="auto"/>
              </w:rPr>
            </w:pPr>
          </w:p>
        </w:tc>
        <w:tc>
          <w:tcPr>
            <w:tcW w:w="320" w:type="dxa"/>
            <w:vAlign w:val="bottom"/>
            <w:tcBorders>
              <w:top w:val="single" w:sz="8" w:color="auto"/>
            </w:tcBorders>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40" w:type="dxa"/>
            <w:vAlign w:val="bottom"/>
            <w:tcBorders>
              <w:top w:val="single" w:sz="8" w:color="auto"/>
            </w:tcBorders>
            <w:shd w:val="clear" w:color="auto" w:fill="CFF0FC"/>
          </w:tcPr>
          <w:p>
            <w:pPr>
              <w:spacing w:after="0"/>
              <w:rPr>
                <w:sz w:val="20"/>
                <w:szCs w:val="20"/>
                <w:color w:val="auto"/>
              </w:rPr>
            </w:pPr>
          </w:p>
        </w:tc>
        <w:tc>
          <w:tcPr>
            <w:tcW w:w="132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9"/>
              </w:rPr>
              <w:t>Operating</w:t>
            </w:r>
          </w:p>
        </w:tc>
        <w:tc>
          <w:tcPr>
            <w:tcW w:w="4840" w:type="dxa"/>
            <w:vAlign w:val="bottom"/>
            <w:gridSpan w:val="2"/>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140" w:type="dxa"/>
            <w:vAlign w:val="bottom"/>
            <w:tcBorders>
              <w:bottom w:val="single" w:sz="8" w:color="CFF0FC"/>
            </w:tcBorders>
            <w:shd w:val="clear" w:color="auto" w:fill="CFF0FC"/>
          </w:tcPr>
          <w:p>
            <w:pPr>
              <w:jc w:val="center"/>
              <w:ind w:right="2930"/>
              <w:spacing w:after="0"/>
              <w:rPr>
                <w:sz w:val="20"/>
                <w:szCs w:val="20"/>
                <w:color w:val="auto"/>
              </w:rPr>
            </w:pPr>
            <w:r>
              <w:rPr>
                <w:rFonts w:ascii="Times New Roman" w:cs="Times New Roman" w:eastAsia="Times New Roman" w:hAnsi="Times New Roman"/>
                <w:sz w:val="18"/>
                <w:szCs w:val="18"/>
                <w:color w:val="auto"/>
                <w:w w:val="99"/>
              </w:rPr>
              <w:t>Financing</w:t>
            </w:r>
          </w:p>
        </w:tc>
        <w:tc>
          <w:tcPr>
            <w:tcW w:w="3580" w:type="dxa"/>
            <w:vAlign w:val="bottom"/>
            <w:tcBorders>
              <w:bottom w:val="single" w:sz="8" w:color="CFF0FC"/>
            </w:tcBorders>
            <w:shd w:val="clear" w:color="auto" w:fill="CFF0FC"/>
          </w:tcPr>
          <w:p>
            <w:pPr>
              <w:spacing w:after="0"/>
              <w:rPr>
                <w:sz w:val="21"/>
                <w:szCs w:val="21"/>
                <w:color w:val="auto"/>
              </w:rPr>
            </w:pPr>
          </w:p>
        </w:tc>
        <w:tc>
          <w:tcPr>
            <w:tcW w:w="1260" w:type="dxa"/>
            <w:vAlign w:val="bottom"/>
            <w:tcBorders>
              <w:bottom w:val="single" w:sz="8" w:color="auto"/>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280" w:type="dxa"/>
            <w:vAlign w:val="bottom"/>
            <w:tcBorders>
              <w:bottom w:val="single" w:sz="8" w:color="CFF0FC"/>
            </w:tcBorders>
            <w:shd w:val="clear" w:color="auto" w:fill="CFF0FC"/>
          </w:tcPr>
          <w:p>
            <w:pPr>
              <w:spacing w:after="0"/>
              <w:rPr>
                <w:sz w:val="21"/>
                <w:szCs w:val="21"/>
                <w:color w:val="auto"/>
              </w:rPr>
            </w:pPr>
          </w:p>
        </w:tc>
        <w:tc>
          <w:tcPr>
            <w:tcW w:w="240" w:type="dxa"/>
            <w:vAlign w:val="bottom"/>
            <w:tcBorders>
              <w:bottom w:val="single" w:sz="8" w:color="auto"/>
            </w:tcBorders>
            <w:shd w:val="clear" w:color="auto" w:fill="CFF0FC"/>
          </w:tcPr>
          <w:p>
            <w:pPr>
              <w:spacing w:after="0"/>
              <w:rPr>
                <w:sz w:val="21"/>
                <w:szCs w:val="21"/>
                <w:color w:val="auto"/>
              </w:rPr>
            </w:pPr>
          </w:p>
        </w:tc>
        <w:tc>
          <w:tcPr>
            <w:tcW w:w="13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40" w:type="dxa"/>
            <w:vAlign w:val="bottom"/>
          </w:tcPr>
          <w:p>
            <w:pPr>
              <w:jc w:val="center"/>
              <w:ind w:right="2930"/>
              <w:spacing w:after="0"/>
              <w:rPr>
                <w:sz w:val="20"/>
                <w:szCs w:val="20"/>
                <w:color w:val="auto"/>
              </w:rPr>
            </w:pPr>
            <w:r>
              <w:rPr>
                <w:rFonts w:ascii="Times New Roman" w:cs="Times New Roman" w:eastAsia="Times New Roman" w:hAnsi="Times New Roman"/>
                <w:sz w:val="18"/>
                <w:szCs w:val="18"/>
                <w:color w:val="auto"/>
                <w:w w:val="94"/>
              </w:rPr>
              <w:t>Total</w:t>
            </w:r>
          </w:p>
        </w:tc>
        <w:tc>
          <w:tcPr>
            <w:tcW w:w="4840" w:type="dxa"/>
            <w:vAlign w:val="bottom"/>
            <w:gridSpan w:val="2"/>
          </w:tcPr>
          <w:p>
            <w:pPr>
              <w:jc w:val="right"/>
              <w:ind w:right="1082"/>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52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40" w:type="dxa"/>
            <w:vAlign w:val="bottom"/>
          </w:tcPr>
          <w:p>
            <w:pPr>
              <w:spacing w:after="0" w:line="20" w:lineRule="exact"/>
              <w:rPr>
                <w:sz w:val="1"/>
                <w:szCs w:val="1"/>
                <w:color w:val="auto"/>
              </w:rPr>
            </w:pPr>
          </w:p>
        </w:tc>
        <w:tc>
          <w:tcPr>
            <w:tcW w:w="3580" w:type="dxa"/>
            <w:vAlign w:val="bottom"/>
            <w:vMerge w:val="restart"/>
          </w:tcPr>
          <w:p>
            <w:pPr>
              <w:jc w:val="right"/>
              <w:ind w:right="1916"/>
              <w:spacing w:after="0"/>
              <w:rPr>
                <w:sz w:val="20"/>
                <w:szCs w:val="20"/>
                <w:color w:val="auto"/>
              </w:rPr>
            </w:pPr>
            <w:r>
              <w:rPr>
                <w:rFonts w:ascii="Times New Roman" w:cs="Times New Roman" w:eastAsia="Times New Roman" w:hAnsi="Times New Roman"/>
                <w:sz w:val="18"/>
                <w:szCs w:val="18"/>
                <w:color w:val="auto"/>
              </w:rPr>
              <w:t>11</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34"/>
        </w:trPr>
        <w:tc>
          <w:tcPr>
            <w:tcW w:w="4140" w:type="dxa"/>
            <w:vAlign w:val="bottom"/>
          </w:tcPr>
          <w:p>
            <w:pPr>
              <w:spacing w:after="0"/>
              <w:rPr>
                <w:sz w:val="24"/>
                <w:szCs w:val="24"/>
                <w:color w:val="auto"/>
              </w:rPr>
            </w:pPr>
          </w:p>
        </w:tc>
        <w:tc>
          <w:tcPr>
            <w:tcW w:w="3580" w:type="dxa"/>
            <w:vAlign w:val="bottom"/>
            <w:vMerge w:val="continue"/>
          </w:tcPr>
          <w:p>
            <w:pPr>
              <w:spacing w:after="0"/>
              <w:rPr>
                <w:sz w:val="24"/>
                <w:szCs w:val="24"/>
                <w:color w:val="auto"/>
              </w:rPr>
            </w:pPr>
          </w:p>
        </w:tc>
        <w:tc>
          <w:tcPr>
            <w:tcW w:w="1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140" w:type="dxa"/>
            <w:vAlign w:val="bottom"/>
            <w:tcBorders>
              <w:bottom w:val="single" w:sz="8" w:color="9A9A9A"/>
            </w:tcBorders>
          </w:tcPr>
          <w:p>
            <w:pPr>
              <w:spacing w:after="0"/>
              <w:rPr>
                <w:sz w:val="24"/>
                <w:szCs w:val="24"/>
                <w:color w:val="auto"/>
              </w:rPr>
            </w:pPr>
          </w:p>
        </w:tc>
        <w:tc>
          <w:tcPr>
            <w:tcW w:w="35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3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5904230</wp:posOffset>
            </wp:positionH>
            <wp:positionV relativeFrom="paragraph">
              <wp:posOffset>-2208530</wp:posOffset>
            </wp:positionV>
            <wp:extent cx="6858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-2208530</wp:posOffset>
            </wp:positionV>
            <wp:extent cx="6858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5904230</wp:posOffset>
            </wp:positionH>
            <wp:positionV relativeFrom="paragraph">
              <wp:posOffset>-1095375</wp:posOffset>
            </wp:positionV>
            <wp:extent cx="6858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-1095375</wp:posOffset>
            </wp:positionV>
            <wp:extent cx="6858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11" w:name="page12"/>
    <w:bookmarkEnd w:id="11"/>
    <w:p>
      <w:pPr>
        <w:spacing w:after="0"/>
        <w:tabs>
          <w:tab w:leader="none" w:pos="340" w:val="left"/>
        </w:tabs>
        <w:rPr>
          <w:sz w:val="20"/>
          <w:szCs w:val="20"/>
          <w:color w:val="auto"/>
        </w:rPr>
      </w:pPr>
      <w:r>
        <w:rPr>
          <w:rFonts w:ascii="Times New Roman" w:cs="Times New Roman" w:eastAsia="Times New Roman" w:hAnsi="Times New Roman"/>
          <w:sz w:val="18"/>
          <w:szCs w:val="18"/>
          <w:b w:val="1"/>
          <w:bCs w:val="1"/>
          <w:color w:val="auto"/>
        </w:rPr>
        <w:t>9.</w:t>
        <w:tab/>
        <w:t>Debt</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Debt consists of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722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2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87"/>
        </w:trPr>
        <w:tc>
          <w:tcPr>
            <w:tcW w:w="7220" w:type="dxa"/>
            <w:vAlign w:val="bottom"/>
          </w:tcPr>
          <w:p>
            <w:pPr>
              <w:spacing w:after="0"/>
              <w:rPr>
                <w:sz w:val="16"/>
                <w:szCs w:val="16"/>
                <w:color w:val="auto"/>
              </w:rPr>
            </w:pPr>
          </w:p>
        </w:tc>
        <w:tc>
          <w:tcPr>
            <w:tcW w:w="138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40" w:type="dxa"/>
            <w:vAlign w:val="bottom"/>
            <w:tcBorders>
              <w:bottom w:val="single" w:sz="8" w:color="auto"/>
            </w:tcBorders>
          </w:tcPr>
          <w:p>
            <w:pPr>
              <w:spacing w:after="0"/>
              <w:rPr>
                <w:sz w:val="16"/>
                <w:szCs w:val="16"/>
                <w:color w:val="auto"/>
              </w:rPr>
            </w:pPr>
          </w:p>
        </w:tc>
        <w:tc>
          <w:tcPr>
            <w:tcW w:w="3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67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04"/>
        </w:trPr>
        <w:tc>
          <w:tcPr>
            <w:tcW w:w="7220" w:type="dxa"/>
            <w:vAlign w:val="bottom"/>
            <w:shd w:val="clear" w:color="auto" w:fill="CFF0FC"/>
          </w:tcPr>
          <w:p>
            <w:pPr>
              <w:ind w:left="200"/>
              <w:spacing w:after="0" w:line="204" w:lineRule="exact"/>
              <w:rPr>
                <w:sz w:val="20"/>
                <w:szCs w:val="20"/>
                <w:color w:val="auto"/>
              </w:rPr>
            </w:pPr>
            <w:r>
              <w:rPr>
                <w:rFonts w:ascii="Times New Roman" w:cs="Times New Roman" w:eastAsia="Times New Roman" w:hAnsi="Times New Roman"/>
                <w:sz w:val="18"/>
                <w:szCs w:val="18"/>
                <w:color w:val="auto"/>
              </w:rPr>
              <w:t>$1.1 billion in Senior Notes, interest at 3.95% payable</w:t>
            </w:r>
          </w:p>
        </w:tc>
        <w:tc>
          <w:tcPr>
            <w:tcW w:w="1380" w:type="dxa"/>
            <w:vAlign w:val="bottom"/>
            <w:shd w:val="clear" w:color="auto" w:fill="CFF0FC"/>
          </w:tcPr>
          <w:p>
            <w:pPr>
              <w:spacing w:after="0"/>
              <w:rPr>
                <w:sz w:val="17"/>
                <w:szCs w:val="17"/>
                <w:color w:val="auto"/>
              </w:rPr>
            </w:pPr>
          </w:p>
        </w:tc>
        <w:tc>
          <w:tcPr>
            <w:tcW w:w="44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52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48"/>
        </w:trPr>
        <w:tc>
          <w:tcPr>
            <w:tcW w:w="7220" w:type="dxa"/>
            <w:vAlign w:val="bottom"/>
            <w:shd w:val="clear" w:color="auto" w:fill="CFF0FC"/>
          </w:tcPr>
          <w:p>
            <w:pPr>
              <w:ind w:left="340"/>
              <w:spacing w:after="0"/>
              <w:rPr>
                <w:sz w:val="20"/>
                <w:szCs w:val="20"/>
                <w:color w:val="auto"/>
              </w:rPr>
            </w:pPr>
            <w:r>
              <w:rPr>
                <w:rFonts w:ascii="Times New Roman" w:cs="Times New Roman" w:eastAsia="Times New Roman" w:hAnsi="Times New Roman"/>
                <w:sz w:val="18"/>
                <w:szCs w:val="18"/>
                <w:color w:val="auto"/>
              </w:rPr>
              <w:t>semiannually, principal due on December 1, 2042</w:t>
            </w:r>
          </w:p>
        </w:tc>
        <w:tc>
          <w:tcPr>
            <w:tcW w:w="1380" w:type="dxa"/>
            <w:vAlign w:val="bottom"/>
            <w:shd w:val="clear" w:color="auto" w:fill="CFF0FC"/>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1,091</w:t>
            </w:r>
          </w:p>
        </w:tc>
        <w:tc>
          <w:tcPr>
            <w:tcW w:w="5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FF0FC"/>
          </w:tcPr>
          <w:p>
            <w:pPr>
              <w:spacing w:after="0"/>
              <w:rPr>
                <w:sz w:val="21"/>
                <w:szCs w:val="21"/>
                <w:color w:val="auto"/>
              </w:rPr>
            </w:pPr>
          </w:p>
        </w:tc>
      </w:tr>
      <w:tr>
        <w:trPr>
          <w:trHeight w:val="211"/>
        </w:trPr>
        <w:tc>
          <w:tcPr>
            <w:tcW w:w="7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$0.5 billion in Senior Notes, interest at 3.60% payable</w:t>
            </w:r>
          </w:p>
        </w:tc>
        <w:tc>
          <w:tcPr>
            <w:tcW w:w="13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41"/>
        </w:trPr>
        <w:tc>
          <w:tcPr>
            <w:tcW w:w="72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semiannually, principal due on December 1, 2029</w:t>
            </w:r>
          </w:p>
        </w:tc>
        <w:tc>
          <w:tcPr>
            <w:tcW w:w="1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100" w:type="dxa"/>
            <w:vAlign w:val="bottom"/>
          </w:tcPr>
          <w:p>
            <w:pPr>
              <w:spacing w:after="0"/>
              <w:rPr>
                <w:sz w:val="20"/>
                <w:szCs w:val="20"/>
                <w:color w:val="auto"/>
              </w:rPr>
            </w:pPr>
          </w:p>
        </w:tc>
      </w:tr>
      <w:tr>
        <w:trPr>
          <w:trHeight w:val="245"/>
        </w:trPr>
        <w:tc>
          <w:tcPr>
            <w:tcW w:w="722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debt</w:t>
            </w:r>
          </w:p>
        </w:tc>
        <w:tc>
          <w:tcPr>
            <w:tcW w:w="13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Total Debt</w:t>
            </w:r>
          </w:p>
        </w:tc>
        <w:tc>
          <w:tcPr>
            <w:tcW w:w="138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1,749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1,725</w:t>
            </w:r>
          </w:p>
        </w:tc>
        <w:tc>
          <w:tcPr>
            <w:tcW w:w="100" w:type="dxa"/>
            <w:vAlign w:val="bottom"/>
          </w:tcPr>
          <w:p>
            <w:pPr>
              <w:spacing w:after="0"/>
              <w:rPr>
                <w:sz w:val="20"/>
                <w:szCs w:val="20"/>
                <w:color w:val="auto"/>
              </w:rPr>
            </w:pPr>
          </w:p>
        </w:tc>
      </w:tr>
      <w:tr>
        <w:trPr>
          <w:trHeight w:val="243"/>
        </w:trPr>
        <w:tc>
          <w:tcPr>
            <w:tcW w:w="7220" w:type="dxa"/>
            <w:vAlign w:val="bottom"/>
            <w:tcBorders>
              <w:bottom w:val="single" w:sz="8" w:color="CFF0FC"/>
            </w:tcBorders>
            <w:shd w:val="clear" w:color="auto" w:fill="CFF0FC"/>
          </w:tcPr>
          <w:p>
            <w:pPr>
              <w:ind w:left="380"/>
              <w:spacing w:after="0"/>
              <w:rPr>
                <w:sz w:val="20"/>
                <w:szCs w:val="20"/>
                <w:color w:val="auto"/>
              </w:rPr>
            </w:pPr>
            <w:r>
              <w:rPr>
                <w:rFonts w:ascii="Times New Roman" w:cs="Times New Roman" w:eastAsia="Times New Roman" w:hAnsi="Times New Roman"/>
                <w:sz w:val="18"/>
                <w:szCs w:val="18"/>
                <w:color w:val="auto"/>
              </w:rPr>
              <w:t>Less current portion</w:t>
            </w:r>
          </w:p>
        </w:tc>
        <w:tc>
          <w:tcPr>
            <w:tcW w:w="1380" w:type="dxa"/>
            <w:vAlign w:val="bottom"/>
            <w:tcBorders>
              <w:bottom w:val="single" w:sz="8" w:color="auto"/>
            </w:tcBorders>
            <w:shd w:val="clear" w:color="auto" w:fill="CFF0FC"/>
          </w:tcPr>
          <w:p>
            <w:pPr>
              <w:spacing w:after="0"/>
              <w:rPr>
                <w:sz w:val="21"/>
                <w:szCs w:val="21"/>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30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spacing w:after="0"/>
              <w:rPr>
                <w:sz w:val="21"/>
                <w:szCs w:val="21"/>
                <w:color w:val="auto"/>
              </w:rPr>
            </w:pPr>
          </w:p>
        </w:tc>
        <w:tc>
          <w:tcPr>
            <w:tcW w:w="1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36"/>
        </w:trPr>
        <w:tc>
          <w:tcPr>
            <w:tcW w:w="722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Long-term debt</w:t>
            </w:r>
          </w:p>
        </w:tc>
        <w:tc>
          <w:tcPr>
            <w:tcW w:w="1380" w:type="dxa"/>
            <w:vAlign w:val="bottom"/>
          </w:tcPr>
          <w:p>
            <w:pPr>
              <w:jc w:val="right"/>
              <w:ind w:right="1199"/>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1,721</w:t>
            </w: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1,712</w:t>
            </w:r>
          </w:p>
        </w:tc>
        <w:tc>
          <w:tcPr>
            <w:tcW w:w="100" w:type="dxa"/>
            <w:vAlign w:val="bottom"/>
          </w:tcPr>
          <w:p>
            <w:pPr>
              <w:spacing w:after="0"/>
              <w:rPr>
                <w:sz w:val="20"/>
                <w:szCs w:val="20"/>
                <w:color w:val="auto"/>
              </w:rPr>
            </w:pPr>
          </w:p>
        </w:tc>
      </w:tr>
      <w:tr>
        <w:trPr>
          <w:trHeight w:val="20"/>
        </w:trPr>
        <w:tc>
          <w:tcPr>
            <w:tcW w:w="7220" w:type="dxa"/>
            <w:vAlign w:val="bottom"/>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5741670</wp:posOffset>
            </wp:positionH>
            <wp:positionV relativeFrom="paragraph">
              <wp:posOffset>-504825</wp:posOffset>
            </wp:positionV>
            <wp:extent cx="6858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5741670</wp:posOffset>
            </wp:positionH>
            <wp:positionV relativeFrom="paragraph">
              <wp:posOffset>-187960</wp:posOffset>
            </wp:positionV>
            <wp:extent cx="6858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-187960</wp:posOffset>
            </wp:positionV>
            <wp:extent cx="6858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12, 2024, the Company entered into a new $1.5 billion five-year unsecured revolving credit facility. This new credit facility replaced the Company's previous $2.0 billion revolving credit facility. The Company has the right to increase the aggregate commitments under this new agreement to an aggregate amount of up to $2.5 billion upon the consent of only those lenders holding any such increase. Interest under the multicurrency facility is based upon Secured Overnight Financing Rate (SOFR), Euro Interbank Offered Rate (EURIBOR), Sterling Overnight Index Average (SONIA), Canadian Overnight Repo Rate Average (CORRA), or Norwegian Interbank Offered Rate (NIBOR), plus 1.25% subject to a ratings-based grid or the U.S. prime rate. The new credit facility contains a financial covenant establishing a maximum debt-to-capitalization ratio of 60%. As of September 30, 2024, the Company was in compliance with a debt-to-capitalization ratio of 23.4% and had no outstanding borrowings or letters of credits issued under the facility, resulting in $1.5 billion of available funds.</w:t>
      </w:r>
    </w:p>
    <w:p>
      <w:pPr>
        <w:spacing w:after="0" w:line="8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consolidated joint venture of the Company borrowed $120 million against a $150 million bank line of credit for the construction of a facility in Saudi Arabia. Interest under the bank line of credit is based upon SOFR plus 1.40%. The bank line of credit contains a financial covenant regarding maximum debt-to-equity ratio of 75%. As of September 30, 2024, the joint venture was in compliance. The facility construction was completed in the fourth quarter of 2022, and the joint venture will not have future borrowings on the line of credit. The line of credit repayment schedule began in December 2022 with final payment no later than June 2032. As of September 30, 2024, the Company has $99 million in borrowings related to this line of credit. The carrying value of debt under the Company’s consolidated joint venture approximates fair value because the interest rates are variable and reflective of current market rates. The Company has $11 million in payments related to this line of credit due in the next twelve months. The Company can repay the entire outstanding facility balance without penalty at its sole discretion.</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Other debt at September 30, 2024 included $61 million of amounts owed to current and former minority interest partners of NOV consolidated joint ventures, of which $17 million is due in the next twelve months.</w:t>
      </w:r>
    </w:p>
    <w:p>
      <w:pPr>
        <w:spacing w:after="0" w:line="55"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had $472 million of outstanding letters of credit at September 30, 2024, primarily in Norway and the United States, that are under various bilateral letter of credit facilities. Letters of credit are issued as bid bonds, advanced payment bonds and performance bonds.</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At September 30, 2024 and December 31, 2023, the fair value of the Company’s unsecured Senior Notes approximated $1,350 million and $1,316 million, respectively. The fair value of the Company’s debt is estimated using Level 2 inputs in the fair value hierarchy and is based on quoted prices for those of similar instruments. At September 30, 2024 and December 31, 2023, the carrying value of the Company’s unsecured Senior Notes approximated $1,587 million and $1,586 million, respectively.</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10.  Income Taxes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2024 was 25.3% and 25.0%, respectively, compared to 30.8% and 18.2% for the same periods in 2023. The effective tax rate for 2024 was negatively impacted by a mix of earnings in higher tax rate jurisdictions, losses in certain jurisdictions with no tax benefit, and adjustments to the carrying value of deferred tax assets, partially offset by the reduction of valuation allowances related to U.S. and state deferred tax assets. The effective tax rate for 2023 was positively impacted by the utilization of previously unrealized loss carryforwards and tax credits as well as favorable adjustments related to changes in certain exchange rates, partially offset by current year losses in certain jurisdictions with no tax benefit.</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Stock-Based Compensation</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Company’s stock-based compensation plan, known as the NOV Inc. Long-Term Incentive Plan (the “NOV Plan”), was approved by shareholders on May 11, 2018 and amended and restated on May 24, 2022. The NOV Plan provides for the granting of stock options, restricted stock, restricted stock units, performance awards, phantom shares, stock appreciation rights, stock payments and substitute awards. The number of shares authorized under the NOV Plan is 55.7 million. The NOV Plan is also subject to a fungible ratio concept, such that the issuance of stock options and stock appreciation rights reduces the number of available shares under the NOV Plan on a 1-for-1 basis, and the issuance of other awards reduces the number of available shares under the NOV Plan on a 1.5-for-1 basis. At September 30, 2024, approximately 7.8 million shares remained available for future grants under the NOV Plan. The Company also has outstanding awards under its former stock-based compensation plan known as the National Oilwell Varco, Inc. Long-Term Incentive Plan (the “Former Plan”), however the Company is no longer granting new awards under the Former Plan.</w:t>
      </w:r>
    </w:p>
    <w:p>
      <w:pPr>
        <w:spacing w:after="0" w:line="81"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Total expense for all stock-based compensation arrangements was $17 million and $53 million for the three and nine months ended September 30, 2024, respectively, and $17 million and $49 million for the three and nine months ended September 30, 2023, respectively.</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total income tax expense/(benefit) recognized in the Consolidated Statements of Income for stock-based compensation arrangements was ($2) million and $1 million for the three and nine months ended September 30, 2024, respectively. There was no income tax benefit recognized in the Consolidated Statements of Income for stock-based compensation arrangements under the NOV Plan for the three and nine months ended September 30, 2023.</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Derivative Financial Instruments</w:t>
      </w:r>
    </w:p>
    <w:p>
      <w:pPr>
        <w:spacing w:after="0" w:line="121"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 uses forward currency contracts to manage the foreign currency exchange rate risk on forecasted revenues and expenses denominated in currencies other than the functional currency of the operating unit (cash flow hedge). The Company also executes forward currency contracts to manage the foreign currency exchange rate risk on recognized nonfunctional currency monetary accounts (non-designated hedge).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fair values of these derivative financial instruments are determined using level 2 inputs (inputs other than quoted prices in active markets for identical assets and liabilities that are observable either directly or indirectly for substantially the full term of the asset or liability) in the fair value hierarchy as the fair value is based on publicly available foreign exchange and interest rates at each financial reporting date.</w:t>
      </w:r>
    </w:p>
    <w:p>
      <w:pPr>
        <w:spacing w:after="0" w:line="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Forward currency contracts consist of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8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Currency Denomination</w:t>
            </w:r>
          </w:p>
        </w:tc>
        <w:tc>
          <w:tcPr>
            <w:tcW w:w="1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58"/>
        </w:trPr>
        <w:tc>
          <w:tcPr>
            <w:tcW w:w="5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60" w:type="dxa"/>
            <w:vAlign w:val="bottom"/>
          </w:tcPr>
          <w:p>
            <w:pPr>
              <w:jc w:val="center"/>
              <w:ind w:left="611"/>
              <w:spacing w:after="0" w:line="157"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860" w:type="dxa"/>
            <w:vAlign w:val="bottom"/>
          </w:tcPr>
          <w:p>
            <w:pPr>
              <w:jc w:val="right"/>
              <w:ind w:right="773"/>
              <w:spacing w:after="0" w:line="157"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100" w:type="dxa"/>
            <w:vAlign w:val="bottom"/>
          </w:tcPr>
          <w:p>
            <w:pPr>
              <w:spacing w:after="0"/>
              <w:rPr>
                <w:sz w:val="13"/>
                <w:szCs w:val="13"/>
                <w:color w:val="auto"/>
              </w:rPr>
            </w:pPr>
          </w:p>
        </w:tc>
      </w:tr>
      <w:tr>
        <w:trPr>
          <w:trHeight w:val="187"/>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Currency</w:t>
            </w:r>
          </w:p>
        </w:tc>
        <w:tc>
          <w:tcPr>
            <w:tcW w:w="2140" w:type="dxa"/>
            <w:vAlign w:val="bottom"/>
            <w:gridSpan w:val="2"/>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60" w:type="dxa"/>
            <w:vAlign w:val="bottom"/>
          </w:tcPr>
          <w:p>
            <w:pPr>
              <w:jc w:val="right"/>
              <w:ind w:right="105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r>
      <w:tr>
        <w:trPr>
          <w:trHeight w:val="236"/>
        </w:trPr>
        <w:tc>
          <w:tcPr>
            <w:tcW w:w="536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Colombian Peso</w:t>
            </w:r>
          </w:p>
        </w:tc>
        <w:tc>
          <w:tcPr>
            <w:tcW w:w="280" w:type="dxa"/>
            <w:vAlign w:val="bottom"/>
            <w:shd w:val="clear" w:color="auto" w:fill="CFF0FC"/>
          </w:tcPr>
          <w:p>
            <w:pPr>
              <w:spacing w:after="0"/>
              <w:rPr>
                <w:sz w:val="20"/>
                <w:szCs w:val="20"/>
                <w:color w:val="auto"/>
              </w:rPr>
            </w:pPr>
          </w:p>
        </w:tc>
        <w:tc>
          <w:tcPr>
            <w:tcW w:w="186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COP</w:t>
            </w:r>
          </w:p>
        </w:tc>
        <w:tc>
          <w:tcPr>
            <w:tcW w:w="7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53,976</w:t>
            </w:r>
          </w:p>
        </w:tc>
        <w:tc>
          <w:tcPr>
            <w:tcW w:w="360" w:type="dxa"/>
            <w:vAlign w:val="bottom"/>
            <w:shd w:val="clear" w:color="auto" w:fill="CFF0FC"/>
          </w:tcPr>
          <w:p>
            <w:pPr>
              <w:spacing w:after="0"/>
              <w:rPr>
                <w:sz w:val="20"/>
                <w:szCs w:val="20"/>
                <w:color w:val="auto"/>
              </w:rPr>
            </w:pPr>
          </w:p>
        </w:tc>
        <w:tc>
          <w:tcPr>
            <w:tcW w:w="700" w:type="dxa"/>
            <w:vAlign w:val="bottom"/>
            <w:tcBorders>
              <w:top w:val="single" w:sz="8" w:color="auto"/>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COP</w:t>
            </w:r>
          </w:p>
        </w:tc>
        <w:tc>
          <w:tcPr>
            <w:tcW w:w="18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57,487</w:t>
            </w:r>
          </w:p>
        </w:tc>
        <w:tc>
          <w:tcPr>
            <w:tcW w:w="100" w:type="dxa"/>
            <w:vAlign w:val="bottom"/>
            <w:shd w:val="clear" w:color="auto" w:fill="CFF0FC"/>
          </w:tcPr>
          <w:p>
            <w:pPr>
              <w:spacing w:after="0"/>
              <w:rPr>
                <w:sz w:val="20"/>
                <w:szCs w:val="20"/>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Korean Won</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KRW</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22,671</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KRW</w:t>
            </w:r>
          </w:p>
        </w:tc>
        <w:tc>
          <w:tcPr>
            <w:tcW w:w="1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Norwegian Krone</w:t>
            </w: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NOK</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2,419</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NOK</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2,179</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JPY</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1,467</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JPY</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1,118</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 Dollar</w:t>
            </w: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USD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965</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USD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677</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Mexican Peso</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MXN</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349</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MXN</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EUR</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EUR</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Danish Krone</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DKK</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DKK</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SGD</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SGD</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South African Rand</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ZAR</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ZAR</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British Pound Sterling</w:t>
            </w: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GBP</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GBP</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FF0FC"/>
          </w:tcPr>
          <w:p>
            <w:pPr>
              <w:spacing w:after="0"/>
              <w:rPr>
                <w:sz w:val="21"/>
                <w:szCs w:val="21"/>
                <w:color w:val="auto"/>
              </w:rPr>
            </w:pPr>
          </w:p>
        </w:tc>
      </w:tr>
      <w:tr>
        <w:trPr>
          <w:trHeight w:val="238"/>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Canadian Dollar</w:t>
            </w:r>
          </w:p>
        </w:tc>
        <w:tc>
          <w:tcPr>
            <w:tcW w:w="280" w:type="dxa"/>
            <w:vAlign w:val="bottom"/>
          </w:tcPr>
          <w:p>
            <w:pPr>
              <w:spacing w:after="0"/>
              <w:rPr>
                <w:sz w:val="20"/>
                <w:szCs w:val="20"/>
                <w:color w:val="auto"/>
              </w:rPr>
            </w:pPr>
          </w:p>
        </w:tc>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CAD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tcPr>
          <w:p>
            <w:pPr>
              <w:spacing w:after="0"/>
              <w:rPr>
                <w:sz w:val="20"/>
                <w:szCs w:val="20"/>
                <w:color w:val="auto"/>
              </w:rPr>
            </w:pPr>
          </w:p>
        </w:tc>
        <w:tc>
          <w:tcPr>
            <w:tcW w:w="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CAD</w:t>
            </w:r>
          </w:p>
        </w:tc>
        <w:tc>
          <w:tcPr>
            <w:tcW w:w="1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r>
      <w:tr>
        <w:trPr>
          <w:trHeight w:val="247"/>
        </w:trPr>
        <w:tc>
          <w:tcPr>
            <w:tcW w:w="53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Brazilian Real</w:t>
            </w:r>
          </w:p>
        </w:tc>
        <w:tc>
          <w:tcPr>
            <w:tcW w:w="280" w:type="dxa"/>
            <w:vAlign w:val="bottom"/>
            <w:shd w:val="clear" w:color="auto" w:fill="CFF0FC"/>
          </w:tcPr>
          <w:p>
            <w:pPr>
              <w:spacing w:after="0"/>
              <w:rPr>
                <w:sz w:val="21"/>
                <w:szCs w:val="21"/>
                <w:color w:val="auto"/>
              </w:rPr>
            </w:pPr>
          </w:p>
        </w:tc>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BRL</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FF0FC"/>
          </w:tcPr>
          <w:p>
            <w:pPr>
              <w:spacing w:after="0"/>
              <w:rPr>
                <w:sz w:val="21"/>
                <w:szCs w:val="21"/>
                <w:color w:val="auto"/>
              </w:rPr>
            </w:pPr>
          </w:p>
        </w:tc>
        <w:tc>
          <w:tcPr>
            <w:tcW w:w="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BRL</w:t>
            </w:r>
          </w:p>
        </w:tc>
        <w:tc>
          <w:tcPr>
            <w:tcW w:w="1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291</w:t>
            </w:r>
          </w:p>
        </w:tc>
        <w:tc>
          <w:tcPr>
            <w:tcW w:w="100" w:type="dxa"/>
            <w:vAlign w:val="bottom"/>
            <w:shd w:val="clear" w:color="auto" w:fill="CFF0FC"/>
          </w:tcPr>
          <w:p>
            <w:pPr>
              <w:spacing w:after="0"/>
              <w:rPr>
                <w:sz w:val="21"/>
                <w:szCs w:val="21"/>
                <w:color w:val="auto"/>
              </w:rPr>
            </w:pPr>
          </w:p>
        </w:tc>
      </w:tr>
      <w:tr>
        <w:trPr>
          <w:trHeight w:val="647"/>
        </w:trPr>
        <w:tc>
          <w:tcPr>
            <w:tcW w:w="5360" w:type="dxa"/>
            <w:vAlign w:val="bottom"/>
          </w:tcPr>
          <w:p>
            <w:pPr>
              <w:spacing w:after="0"/>
              <w:rPr>
                <w:sz w:val="24"/>
                <w:szCs w:val="24"/>
                <w:color w:val="auto"/>
              </w:rPr>
            </w:pPr>
          </w:p>
        </w:tc>
        <w:tc>
          <w:tcPr>
            <w:tcW w:w="2140" w:type="dxa"/>
            <w:vAlign w:val="bottom"/>
            <w:gridSpan w:val="2"/>
          </w:tcPr>
          <w:p>
            <w:pPr>
              <w:jc w:val="right"/>
              <w:ind w:right="1691"/>
              <w:spacing w:after="0"/>
              <w:rPr>
                <w:sz w:val="20"/>
                <w:szCs w:val="20"/>
                <w:color w:val="auto"/>
              </w:rPr>
            </w:pPr>
            <w:r>
              <w:rPr>
                <w:rFonts w:ascii="Times New Roman" w:cs="Times New Roman" w:eastAsia="Times New Roman" w:hAnsi="Times New Roman"/>
                <w:sz w:val="18"/>
                <w:szCs w:val="18"/>
                <w:color w:val="auto"/>
              </w:rPr>
              <w:t>13</w:t>
            </w:r>
          </w:p>
        </w:tc>
        <w:tc>
          <w:tcPr>
            <w:tcW w:w="7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762"/>
        </w:trPr>
        <w:tc>
          <w:tcPr>
            <w:tcW w:w="536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360" w:type="dxa"/>
            <w:vAlign w:val="bottom"/>
            <w:tcBorders>
              <w:bottom w:val="single" w:sz="8" w:color="9A9A9A"/>
            </w:tcBorders>
          </w:tcPr>
          <w:p>
            <w:pPr>
              <w:spacing w:after="0"/>
              <w:rPr>
                <w:sz w:val="24"/>
                <w:szCs w:val="24"/>
                <w:color w:val="auto"/>
              </w:rPr>
            </w:pPr>
          </w:p>
        </w:tc>
        <w:tc>
          <w:tcPr>
            <w:tcW w:w="700" w:type="dxa"/>
            <w:vAlign w:val="bottom"/>
            <w:tcBorders>
              <w:bottom w:val="single" w:sz="8" w:color="9A9A9A"/>
            </w:tcBorders>
          </w:tcPr>
          <w:p>
            <w:pPr>
              <w:spacing w:after="0"/>
              <w:rPr>
                <w:sz w:val="24"/>
                <w:szCs w:val="24"/>
                <w:color w:val="auto"/>
              </w:rPr>
            </w:pPr>
          </w:p>
        </w:tc>
        <w:tc>
          <w:tcPr>
            <w:tcW w:w="18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color w:val="auto"/>
        </w:rPr>
        <w:t>Cash Flow Hedging Strategy</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To protect against the volatility of forecasted foreign currency cash flows resulting from forecasted revenues and expenses, the Company instituted a cash flow hedging program. For derivative instruments that are designated and qualify as a cash flow hedge, the gain or loss on the derivative instrument is recorded in accumulated other comprehensive income (loss) and reclassified into earnings in the same line item associated with the forecasted transaction and in the same period or periods during which the hedged transaction affects earnings (e.g., in “revenues” when the hedged transactions are cash flows associated with forecasted revenues). The Company includes time value in hedge relationships.</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expects accumulated other comprehensive income of $1 million will be reclassified into earnings within the next twelve months.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Non-designated Hedging Strategy</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enters into forward exchange contracts to hedge certain nonfunctional currency monetary accounts. The gain or loss on the derivative instrument is recognized in earnings in other income (expense), together with the changes in the hedged nonfunctional monetary accounts.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amount of gain (loss) recognized in other expense, net was $19 million and $29 million for the three and nine months ended September 30, 2024, respectively, and ($7) million and ($17) million for the three and nine months ended September 30, 2023, respectively.</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has the following fair values of its derivative instruments and their balance sheet classifications (in millions):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180" w:type="dxa"/>
            <w:vAlign w:val="bottom"/>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Asset Derivatives</w:t>
            </w:r>
          </w:p>
        </w:tc>
        <w:tc>
          <w:tcPr>
            <w:tcW w:w="26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6"/>
          </w:tcPr>
          <w:p>
            <w:pPr>
              <w:jc w:val="right"/>
              <w:ind w:right="148"/>
              <w:spacing w:after="0"/>
              <w:rPr>
                <w:sz w:val="20"/>
                <w:szCs w:val="20"/>
                <w:color w:val="auto"/>
              </w:rPr>
            </w:pPr>
            <w:r>
              <w:rPr>
                <w:rFonts w:ascii="Times New Roman" w:cs="Times New Roman" w:eastAsia="Times New Roman" w:hAnsi="Times New Roman"/>
                <w:sz w:val="14"/>
                <w:szCs w:val="14"/>
                <w:b w:val="1"/>
                <w:bCs w:val="1"/>
                <w:color w:val="auto"/>
              </w:rPr>
              <w:t>Liability Derivatives</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1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6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180" w:type="dxa"/>
            <w:vAlign w:val="bottom"/>
          </w:tcPr>
          <w:p>
            <w:pPr>
              <w:spacing w:after="0"/>
              <w:rPr>
                <w:sz w:val="11"/>
                <w:szCs w:val="11"/>
                <w:color w:val="auto"/>
              </w:rPr>
            </w:pPr>
          </w:p>
        </w:tc>
        <w:tc>
          <w:tcPr>
            <w:tcW w:w="130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8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60" w:type="dxa"/>
            <w:vAlign w:val="bottom"/>
          </w:tcPr>
          <w:p>
            <w:pPr>
              <w:spacing w:after="0"/>
              <w:rPr>
                <w:sz w:val="11"/>
                <w:szCs w:val="11"/>
                <w:color w:val="auto"/>
              </w:rPr>
            </w:pPr>
          </w:p>
        </w:tc>
        <w:tc>
          <w:tcPr>
            <w:tcW w:w="10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jc w:val="right"/>
              <w:ind w:right="16"/>
              <w:spacing w:after="0" w:line="131" w:lineRule="exact"/>
              <w:rPr>
                <w:sz w:val="20"/>
                <w:szCs w:val="20"/>
                <w:color w:val="auto"/>
              </w:rPr>
            </w:pPr>
            <w:r>
              <w:rPr>
                <w:rFonts w:ascii="Times New Roman" w:cs="Times New Roman" w:eastAsia="Times New Roman" w:hAnsi="Times New Roman"/>
                <w:sz w:val="14"/>
                <w:szCs w:val="14"/>
                <w:b w:val="1"/>
                <w:bCs w:val="1"/>
                <w:color w:val="auto"/>
              </w:rPr>
              <w:t>September</w:t>
            </w:r>
          </w:p>
        </w:tc>
        <w:tc>
          <w:tcPr>
            <w:tcW w:w="220" w:type="dxa"/>
            <w:vAlign w:val="bottom"/>
          </w:tcPr>
          <w:p>
            <w:pPr>
              <w:spacing w:after="0"/>
              <w:rPr>
                <w:sz w:val="11"/>
                <w:szCs w:val="11"/>
                <w:color w:val="auto"/>
              </w:rPr>
            </w:pPr>
          </w:p>
        </w:tc>
        <w:tc>
          <w:tcPr>
            <w:tcW w:w="106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5"/>
        </w:trPr>
        <w:tc>
          <w:tcPr>
            <w:tcW w:w="4180" w:type="dxa"/>
            <w:vAlign w:val="bottom"/>
          </w:tcPr>
          <w:p>
            <w:pPr>
              <w:spacing w:after="0"/>
              <w:rPr>
                <w:sz w:val="15"/>
                <w:szCs w:val="15"/>
                <w:color w:val="auto"/>
              </w:rPr>
            </w:pPr>
          </w:p>
        </w:tc>
        <w:tc>
          <w:tcPr>
            <w:tcW w:w="1300" w:type="dxa"/>
            <w:vAlign w:val="bottom"/>
            <w:vMerge w:val="continue"/>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216"/>
              <w:spacing w:after="0"/>
              <w:rPr>
                <w:sz w:val="20"/>
                <w:szCs w:val="20"/>
                <w:color w:val="auto"/>
              </w:rPr>
            </w:pPr>
            <w:r>
              <w:rPr>
                <w:rFonts w:ascii="Times New Roman" w:cs="Times New Roman" w:eastAsia="Times New Roman" w:hAnsi="Times New Roman"/>
                <w:sz w:val="14"/>
                <w:szCs w:val="14"/>
                <w:b w:val="1"/>
                <w:bCs w:val="1"/>
                <w:color w:val="auto"/>
              </w:rPr>
              <w:t>30,</w:t>
            </w:r>
          </w:p>
        </w:tc>
        <w:tc>
          <w:tcPr>
            <w:tcW w:w="260" w:type="dxa"/>
            <w:vAlign w:val="bottom"/>
          </w:tcPr>
          <w:p>
            <w:pPr>
              <w:spacing w:after="0"/>
              <w:rPr>
                <w:sz w:val="15"/>
                <w:szCs w:val="15"/>
                <w:color w:val="auto"/>
              </w:rPr>
            </w:pPr>
          </w:p>
        </w:tc>
        <w:tc>
          <w:tcPr>
            <w:tcW w:w="100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gridSpan w:val="4"/>
          </w:tcPr>
          <w:p>
            <w:pPr>
              <w:ind w:left="20"/>
              <w:spacing w:after="0"/>
              <w:rPr>
                <w:sz w:val="20"/>
                <w:szCs w:val="20"/>
                <w:color w:val="auto"/>
              </w:rPr>
            </w:pPr>
            <w:r>
              <w:rPr>
                <w:rFonts w:ascii="Times New Roman" w:cs="Times New Roman" w:eastAsia="Times New Roman" w:hAnsi="Times New Roman"/>
                <w:sz w:val="14"/>
                <w:szCs w:val="14"/>
                <w:b w:val="1"/>
                <w:bCs w:val="1"/>
                <w:color w:val="auto"/>
              </w:rPr>
              <w:t>Balance Sheet</w:t>
            </w:r>
          </w:p>
        </w:tc>
        <w:tc>
          <w:tcPr>
            <w:tcW w:w="640" w:type="dxa"/>
            <w:vAlign w:val="bottom"/>
          </w:tcPr>
          <w:p>
            <w:pPr>
              <w:jc w:val="right"/>
              <w:ind w:right="236"/>
              <w:spacing w:after="0"/>
              <w:rPr>
                <w:sz w:val="20"/>
                <w:szCs w:val="20"/>
                <w:color w:val="auto"/>
              </w:rPr>
            </w:pPr>
            <w:r>
              <w:rPr>
                <w:rFonts w:ascii="Times New Roman" w:cs="Times New Roman" w:eastAsia="Times New Roman" w:hAnsi="Times New Roman"/>
                <w:sz w:val="14"/>
                <w:szCs w:val="14"/>
                <w:b w:val="1"/>
                <w:bCs w:val="1"/>
                <w:color w:val="auto"/>
              </w:rPr>
              <w:t>30,</w:t>
            </w:r>
          </w:p>
        </w:tc>
        <w:tc>
          <w:tcPr>
            <w:tcW w:w="220" w:type="dxa"/>
            <w:vAlign w:val="bottom"/>
          </w:tcPr>
          <w:p>
            <w:pPr>
              <w:spacing w:after="0"/>
              <w:rPr>
                <w:sz w:val="15"/>
                <w:szCs w:val="15"/>
                <w:color w:val="auto"/>
              </w:rPr>
            </w:pPr>
          </w:p>
        </w:tc>
        <w:tc>
          <w:tcPr>
            <w:tcW w:w="106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180" w:type="dxa"/>
            <w:vAlign w:val="bottom"/>
          </w:tcPr>
          <w:p>
            <w:pPr>
              <w:spacing w:after="0"/>
              <w:rPr>
                <w:sz w:val="16"/>
                <w:szCs w:val="16"/>
                <w:color w:val="auto"/>
              </w:rPr>
            </w:pPr>
          </w:p>
        </w:tc>
        <w:tc>
          <w:tcPr>
            <w:tcW w:w="130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2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6"/>
                <w:szCs w:val="16"/>
                <w:color w:val="auto"/>
              </w:rPr>
            </w:pPr>
          </w:p>
        </w:tc>
        <w:tc>
          <w:tcPr>
            <w:tcW w:w="80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jc w:val="right"/>
              <w:ind w:right="1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7"/>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Derivatives designated as hedging</w:t>
            </w:r>
          </w:p>
        </w:tc>
        <w:tc>
          <w:tcPr>
            <w:tcW w:w="13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6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0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6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52"/>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 under ASC Topic 815</w:t>
            </w: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derivatives designated as hedging</w:t>
            </w:r>
          </w:p>
        </w:tc>
        <w:tc>
          <w:tcPr>
            <w:tcW w:w="1300" w:type="dxa"/>
            <w:vAlign w:val="bottom"/>
          </w:tcPr>
          <w:p>
            <w:pPr>
              <w:spacing w:after="0"/>
              <w:rPr>
                <w:sz w:val="17"/>
                <w:szCs w:val="17"/>
                <w:color w:val="auto"/>
              </w:rPr>
            </w:pPr>
          </w:p>
        </w:tc>
        <w:tc>
          <w:tcPr>
            <w:tcW w:w="58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5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 under ASC Topic 815</w:t>
            </w:r>
          </w:p>
        </w:tc>
        <w:tc>
          <w:tcPr>
            <w:tcW w:w="1300" w:type="dxa"/>
            <w:vAlign w:val="bottom"/>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4180" w:type="dxa"/>
            <w:vAlign w:val="bottom"/>
            <w:shd w:val="clear" w:color="auto" w:fill="CFF0FC"/>
          </w:tcPr>
          <w:p>
            <w:pPr>
              <w:ind w:left="20"/>
              <w:spacing w:after="0" w:line="188" w:lineRule="exact"/>
              <w:rPr>
                <w:sz w:val="20"/>
                <w:szCs w:val="20"/>
                <w:color w:val="auto"/>
              </w:rPr>
            </w:pPr>
            <w:r>
              <w:rPr>
                <w:rFonts w:ascii="Times New Roman" w:cs="Times New Roman" w:eastAsia="Times New Roman" w:hAnsi="Times New Roman"/>
                <w:sz w:val="18"/>
                <w:szCs w:val="18"/>
                <w:b w:val="1"/>
                <w:bCs w:val="1"/>
                <w:color w:val="auto"/>
              </w:rPr>
              <w:t>Derivatives not designated as hedging</w:t>
            </w:r>
          </w:p>
        </w:tc>
        <w:tc>
          <w:tcPr>
            <w:tcW w:w="1300" w:type="dxa"/>
            <w:vAlign w:val="bottom"/>
            <w:shd w:val="clear" w:color="auto" w:fill="CFF0FC"/>
          </w:tcPr>
          <w:p>
            <w:pPr>
              <w:spacing w:after="0"/>
              <w:rPr>
                <w:sz w:val="16"/>
                <w:szCs w:val="16"/>
                <w:color w:val="auto"/>
              </w:rPr>
            </w:pPr>
          </w:p>
        </w:tc>
        <w:tc>
          <w:tcPr>
            <w:tcW w:w="2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0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320" w:type="dxa"/>
            <w:vAlign w:val="bottom"/>
            <w:shd w:val="clear" w:color="auto" w:fill="CFF0FC"/>
          </w:tcPr>
          <w:p>
            <w:pPr>
              <w:spacing w:after="0"/>
              <w:rPr>
                <w:sz w:val="16"/>
                <w:szCs w:val="16"/>
                <w:color w:val="auto"/>
              </w:rPr>
            </w:pPr>
          </w:p>
        </w:tc>
        <w:tc>
          <w:tcPr>
            <w:tcW w:w="68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800" w:type="dxa"/>
            <w:vAlign w:val="bottom"/>
            <w:shd w:val="clear" w:color="auto" w:fill="CFF0FC"/>
          </w:tcPr>
          <w:p>
            <w:pPr>
              <w:spacing w:after="0"/>
              <w:rPr>
                <w:sz w:val="16"/>
                <w:szCs w:val="16"/>
                <w:color w:val="auto"/>
              </w:rPr>
            </w:pPr>
          </w:p>
        </w:tc>
        <w:tc>
          <w:tcPr>
            <w:tcW w:w="8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18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2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6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41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b w:val="1"/>
                <w:bCs w:val="1"/>
                <w:color w:val="auto"/>
              </w:rPr>
              <w:t>instruments under ASC Topic 815</w:t>
            </w:r>
          </w:p>
        </w:tc>
        <w:tc>
          <w:tcPr>
            <w:tcW w:w="13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64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0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Prepaid and other</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4180" w:type="dxa"/>
            <w:vAlign w:val="bottom"/>
          </w:tcPr>
          <w:p>
            <w:pPr>
              <w:spacing w:after="0"/>
              <w:rPr>
                <w:sz w:val="20"/>
                <w:szCs w:val="20"/>
                <w:color w:val="auto"/>
              </w:rPr>
            </w:pPr>
          </w:p>
        </w:tc>
        <w:tc>
          <w:tcPr>
            <w:tcW w:w="130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5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20"/>
                <w:szCs w:val="20"/>
                <w:color w:val="auto"/>
              </w:rPr>
            </w:pPr>
          </w:p>
        </w:tc>
        <w:tc>
          <w:tcPr>
            <w:tcW w:w="8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380" w:type="dxa"/>
            <w:vAlign w:val="bottom"/>
            <w:gridSpan w:val="3"/>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8"/>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Foreign exchange contracts</w:t>
            </w:r>
          </w:p>
        </w:tc>
        <w:tc>
          <w:tcPr>
            <w:tcW w:w="13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8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6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180" w:type="dxa"/>
            <w:vAlign w:val="bottom"/>
            <w:tcBorders>
              <w:bottom w:val="single" w:sz="8" w:color="CFF0FC"/>
            </w:tcBorders>
            <w:shd w:val="clear" w:color="auto" w:fill="CFF0FC"/>
          </w:tcPr>
          <w:p>
            <w:pPr>
              <w:spacing w:after="0"/>
              <w:rPr>
                <w:sz w:val="20"/>
                <w:szCs w:val="20"/>
                <w:color w:val="auto"/>
              </w:rPr>
            </w:pPr>
          </w:p>
        </w:tc>
        <w:tc>
          <w:tcPr>
            <w:tcW w:w="1300" w:type="dxa"/>
            <w:vAlign w:val="bottom"/>
            <w:tcBorders>
              <w:bottom w:val="single" w:sz="8" w:color="CFF0FC"/>
            </w:tcBorders>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0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68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8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liabilities</w:t>
            </w:r>
          </w:p>
        </w:tc>
        <w:tc>
          <w:tcPr>
            <w:tcW w:w="8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bottom w:val="single" w:sz="8" w:color="auto"/>
            </w:tcBorders>
            <w:shd w:val="clear" w:color="auto" w:fill="CFF0FC"/>
          </w:tcPr>
          <w:p>
            <w:pPr>
              <w:spacing w:after="0"/>
              <w:rPr>
                <w:sz w:val="20"/>
                <w:szCs w:val="20"/>
                <w:color w:val="auto"/>
              </w:rPr>
            </w:pPr>
          </w:p>
        </w:tc>
        <w:tc>
          <w:tcPr>
            <w:tcW w:w="640" w:type="dxa"/>
            <w:vAlign w:val="bottom"/>
            <w:tcBorders>
              <w:bottom w:val="single" w:sz="8" w:color="auto"/>
            </w:tcBorders>
            <w:vMerge w:val="continue"/>
            <w:shd w:val="clear" w:color="auto" w:fill="CFF0FC"/>
          </w:tcPr>
          <w:p>
            <w:pPr>
              <w:spacing w:after="0"/>
              <w:rPr>
                <w:sz w:val="20"/>
                <w:szCs w:val="20"/>
                <w:color w:val="auto"/>
              </w:rPr>
            </w:pPr>
          </w:p>
        </w:tc>
        <w:tc>
          <w:tcPr>
            <w:tcW w:w="220" w:type="dxa"/>
            <w:vAlign w:val="bottom"/>
            <w:tcBorders>
              <w:bottom w:val="single" w:sz="8" w:color="CFF0FC"/>
            </w:tcBorders>
            <w:shd w:val="clear" w:color="auto" w:fill="CFF0FC"/>
          </w:tcPr>
          <w:p>
            <w:pPr>
              <w:spacing w:after="0"/>
              <w:rPr>
                <w:sz w:val="20"/>
                <w:szCs w:val="20"/>
                <w:color w:val="auto"/>
              </w:rPr>
            </w:pPr>
          </w:p>
        </w:tc>
        <w:tc>
          <w:tcPr>
            <w:tcW w:w="300" w:type="dxa"/>
            <w:vAlign w:val="bottom"/>
            <w:tcBorders>
              <w:bottom w:val="single" w:sz="8" w:color="auto"/>
            </w:tcBorders>
            <w:shd w:val="clear" w:color="auto" w:fill="CFF0FC"/>
          </w:tcPr>
          <w:p>
            <w:pPr>
              <w:spacing w:after="0"/>
              <w:rPr>
                <w:sz w:val="20"/>
                <w:szCs w:val="20"/>
                <w:color w:val="auto"/>
              </w:rPr>
            </w:pPr>
          </w:p>
        </w:tc>
        <w:tc>
          <w:tcPr>
            <w:tcW w:w="66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0"/>
        </w:trPr>
        <w:tc>
          <w:tcPr>
            <w:tcW w:w="4180" w:type="dxa"/>
            <w:vAlign w:val="bottom"/>
          </w:tcPr>
          <w:p>
            <w:pPr>
              <w:ind w:left="20"/>
              <w:spacing w:after="0" w:line="201" w:lineRule="exact"/>
              <w:rPr>
                <w:sz w:val="20"/>
                <w:szCs w:val="20"/>
                <w:color w:val="auto"/>
              </w:rPr>
            </w:pPr>
            <w:r>
              <w:rPr>
                <w:rFonts w:ascii="Times New Roman" w:cs="Times New Roman" w:eastAsia="Times New Roman" w:hAnsi="Times New Roman"/>
                <w:sz w:val="18"/>
                <w:szCs w:val="18"/>
                <w:b w:val="1"/>
                <w:bCs w:val="1"/>
                <w:color w:val="auto"/>
              </w:rPr>
              <w:t>Total derivatives not designated as</w:t>
            </w:r>
          </w:p>
        </w:tc>
        <w:tc>
          <w:tcPr>
            <w:tcW w:w="1300" w:type="dxa"/>
            <w:vAlign w:val="bottom"/>
          </w:tcPr>
          <w:p>
            <w:pPr>
              <w:spacing w:after="0"/>
              <w:rPr>
                <w:sz w:val="17"/>
                <w:szCs w:val="17"/>
                <w:color w:val="auto"/>
              </w:rPr>
            </w:pPr>
          </w:p>
        </w:tc>
        <w:tc>
          <w:tcPr>
            <w:tcW w:w="58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580" w:type="dxa"/>
            <w:vAlign w:val="bottom"/>
            <w:gridSpan w:val="2"/>
            <w:vMerge w:val="restart"/>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80" w:type="dxa"/>
            <w:vAlign w:val="bottom"/>
            <w:gridSpan w:val="3"/>
            <w:vMerge w:val="restart"/>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520" w:type="dxa"/>
            <w:vAlign w:val="bottom"/>
            <w:gridSpan w:val="2"/>
            <w:vMerge w:val="restart"/>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1"/>
        </w:trPr>
        <w:tc>
          <w:tcPr>
            <w:tcW w:w="418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hedging instruments under ASC Topic 815</w:t>
            </w:r>
          </w:p>
        </w:tc>
        <w:tc>
          <w:tcPr>
            <w:tcW w:w="1300" w:type="dxa"/>
            <w:vAlign w:val="bottom"/>
          </w:tcPr>
          <w:p>
            <w:pPr>
              <w:spacing w:after="0"/>
              <w:rPr>
                <w:sz w:val="18"/>
                <w:szCs w:val="18"/>
                <w:color w:val="auto"/>
              </w:rPr>
            </w:pPr>
          </w:p>
        </w:tc>
        <w:tc>
          <w:tcPr>
            <w:tcW w:w="580" w:type="dxa"/>
            <w:vAlign w:val="bottom"/>
            <w:gridSpan w:val="3"/>
            <w:vMerge w:val="continue"/>
          </w:tcPr>
          <w:p>
            <w:pPr>
              <w:spacing w:after="0"/>
              <w:rPr>
                <w:sz w:val="18"/>
                <w:szCs w:val="18"/>
                <w:color w:val="auto"/>
              </w:rPr>
            </w:pPr>
          </w:p>
        </w:tc>
        <w:tc>
          <w:tcPr>
            <w:tcW w:w="600" w:type="dxa"/>
            <w:vAlign w:val="bottom"/>
            <w:vMerge w:val="continue"/>
          </w:tcPr>
          <w:p>
            <w:pPr>
              <w:spacing w:after="0"/>
              <w:rPr>
                <w:sz w:val="18"/>
                <w:szCs w:val="18"/>
                <w:color w:val="auto"/>
              </w:rPr>
            </w:pPr>
          </w:p>
        </w:tc>
        <w:tc>
          <w:tcPr>
            <w:tcW w:w="580" w:type="dxa"/>
            <w:vAlign w:val="bottom"/>
            <w:gridSpan w:val="2"/>
            <w:vMerge w:val="continue"/>
          </w:tcPr>
          <w:p>
            <w:pPr>
              <w:spacing w:after="0"/>
              <w:rPr>
                <w:sz w:val="18"/>
                <w:szCs w:val="18"/>
                <w:color w:val="auto"/>
              </w:rPr>
            </w:pPr>
          </w:p>
        </w:tc>
        <w:tc>
          <w:tcPr>
            <w:tcW w:w="6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80" w:type="dxa"/>
            <w:vAlign w:val="bottom"/>
            <w:gridSpan w:val="3"/>
            <w:vMerge w:val="continue"/>
          </w:tcPr>
          <w:p>
            <w:pPr>
              <w:spacing w:after="0"/>
              <w:rPr>
                <w:sz w:val="18"/>
                <w:szCs w:val="18"/>
                <w:color w:val="auto"/>
              </w:rPr>
            </w:pPr>
          </w:p>
        </w:tc>
        <w:tc>
          <w:tcPr>
            <w:tcW w:w="640" w:type="dxa"/>
            <w:vAlign w:val="bottom"/>
            <w:vMerge w:val="continue"/>
          </w:tcPr>
          <w:p>
            <w:pPr>
              <w:spacing w:after="0"/>
              <w:rPr>
                <w:sz w:val="18"/>
                <w:szCs w:val="18"/>
                <w:color w:val="auto"/>
              </w:rPr>
            </w:pPr>
          </w:p>
        </w:tc>
        <w:tc>
          <w:tcPr>
            <w:tcW w:w="520" w:type="dxa"/>
            <w:vAlign w:val="bottom"/>
            <w:gridSpan w:val="2"/>
            <w:vMerge w:val="continue"/>
          </w:tcPr>
          <w:p>
            <w:pPr>
              <w:spacing w:after="0"/>
              <w:rPr>
                <w:sz w:val="18"/>
                <w:szCs w:val="18"/>
                <w:color w:val="auto"/>
              </w:rPr>
            </w:pPr>
          </w:p>
        </w:tc>
        <w:tc>
          <w:tcPr>
            <w:tcW w:w="6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1"/>
        </w:trPr>
        <w:tc>
          <w:tcPr>
            <w:tcW w:w="41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300" w:type="dxa"/>
            <w:vAlign w:val="bottom"/>
            <w:shd w:val="clear" w:color="auto" w:fill="CFF0FC"/>
          </w:tcPr>
          <w:p>
            <w:pPr>
              <w:spacing w:after="0"/>
              <w:rPr>
                <w:sz w:val="22"/>
                <w:szCs w:val="22"/>
                <w:color w:val="auto"/>
              </w:rPr>
            </w:pPr>
          </w:p>
        </w:tc>
        <w:tc>
          <w:tcPr>
            <w:tcW w:w="58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580" w:type="dxa"/>
            <w:vAlign w:val="bottom"/>
            <w:gridSpan w:val="2"/>
            <w:shd w:val="clear" w:color="auto" w:fill="CFF0FC"/>
          </w:tcPr>
          <w:p>
            <w:pPr>
              <w:jc w:val="right"/>
              <w:ind w:right="148"/>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80" w:type="dxa"/>
            <w:vAlign w:val="bottom"/>
            <w:gridSpan w:val="3"/>
            <w:shd w:val="clear" w:color="auto" w:fill="CFF0FC"/>
          </w:tcPr>
          <w:p>
            <w:pPr>
              <w:jc w:val="right"/>
              <w:ind w:right="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520" w:type="dxa"/>
            <w:vAlign w:val="bottom"/>
            <w:gridSpan w:val="2"/>
            <w:shd w:val="clear" w:color="auto" w:fill="CFF0FC"/>
          </w:tcPr>
          <w:p>
            <w:pPr>
              <w:jc w:val="right"/>
              <w:ind w:right="128"/>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630"/>
        </w:trPr>
        <w:tc>
          <w:tcPr>
            <w:tcW w:w="4180" w:type="dxa"/>
            <w:vAlign w:val="bottom"/>
            <w:tcBorders>
              <w:top w:val="single" w:sz="8" w:color="CFF0FC"/>
            </w:tcBorders>
          </w:tcPr>
          <w:p>
            <w:pPr>
              <w:spacing w:after="0"/>
              <w:rPr>
                <w:sz w:val="24"/>
                <w:szCs w:val="24"/>
                <w:color w:val="auto"/>
              </w:rPr>
            </w:pPr>
          </w:p>
        </w:tc>
        <w:tc>
          <w:tcPr>
            <w:tcW w:w="1300" w:type="dxa"/>
            <w:vAlign w:val="bottom"/>
            <w:tcBorders>
              <w:top w:val="single" w:sz="8" w:color="CFF0FC"/>
            </w:tcBorders>
          </w:tcPr>
          <w:p>
            <w:pPr>
              <w:spacing w:after="0"/>
              <w:rPr>
                <w:sz w:val="24"/>
                <w:szCs w:val="24"/>
                <w:color w:val="auto"/>
              </w:rPr>
            </w:pPr>
          </w:p>
        </w:tc>
        <w:tc>
          <w:tcPr>
            <w:tcW w:w="280" w:type="dxa"/>
            <w:vAlign w:val="bottom"/>
            <w:tcBorders>
              <w:top w:val="single" w:sz="8" w:color="CFF0FC"/>
            </w:tcBorders>
          </w:tcPr>
          <w:p>
            <w:pPr>
              <w:ind w:left="6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68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800" w:type="dxa"/>
            <w:vAlign w:val="bottom"/>
            <w:tcBorders>
              <w:top w:val="single" w:sz="8" w:color="CFF0FC"/>
            </w:tcBorders>
          </w:tcPr>
          <w:p>
            <w:pPr>
              <w:spacing w:after="0"/>
              <w:rPr>
                <w:sz w:val="24"/>
                <w:szCs w:val="24"/>
                <w:color w:val="auto"/>
              </w:rPr>
            </w:pPr>
          </w:p>
        </w:tc>
        <w:tc>
          <w:tcPr>
            <w:tcW w:w="80" w:type="dxa"/>
            <w:vAlign w:val="bottom"/>
            <w:tcBorders>
              <w:top w:val="single" w:sz="8" w:color="CFF0FC"/>
            </w:tcBorders>
          </w:tcPr>
          <w:p>
            <w:pPr>
              <w:spacing w:after="0"/>
              <w:rPr>
                <w:sz w:val="24"/>
                <w:szCs w:val="24"/>
                <w:color w:val="auto"/>
              </w:rPr>
            </w:pPr>
          </w:p>
        </w:tc>
        <w:tc>
          <w:tcPr>
            <w:tcW w:w="120" w:type="dxa"/>
            <w:vAlign w:val="bottom"/>
            <w:tcBorders>
              <w:top w:val="single" w:sz="8" w:color="CFF0FC"/>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220" w:type="dxa"/>
            <w:vAlign w:val="bottom"/>
            <w:tcBorders>
              <w:top w:val="single" w:sz="8" w:color="CFF0FC"/>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c>
          <w:tcPr>
            <w:tcW w:w="0" w:type="dxa"/>
            <w:vAlign w:val="bottom"/>
          </w:tcPr>
          <w:p>
            <w:pPr>
              <w:spacing w:after="0"/>
              <w:rPr>
                <w:sz w:val="1"/>
                <w:szCs w:val="1"/>
                <w:color w:val="auto"/>
              </w:rPr>
            </w:pPr>
          </w:p>
        </w:tc>
      </w:tr>
      <w:tr>
        <w:trPr>
          <w:trHeight w:val="762"/>
        </w:trPr>
        <w:tc>
          <w:tcPr>
            <w:tcW w:w="418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-2550795</wp:posOffset>
            </wp:positionV>
            <wp:extent cx="7683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-2550795</wp:posOffset>
            </wp:positionV>
            <wp:extent cx="6858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-2550795</wp:posOffset>
            </wp:positionV>
            <wp:extent cx="6858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-2550795</wp:posOffset>
            </wp:positionV>
            <wp:extent cx="6858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-1386205</wp:posOffset>
            </wp:positionV>
            <wp:extent cx="7683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-1386205</wp:posOffset>
            </wp:positionV>
            <wp:extent cx="6858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-1386205</wp:posOffset>
            </wp:positionV>
            <wp:extent cx="6858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-1386205</wp:posOffset>
            </wp:positionV>
            <wp:extent cx="6858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-932815</wp:posOffset>
            </wp:positionV>
            <wp:extent cx="7683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-915670</wp:posOffset>
            </wp:positionV>
            <wp:extent cx="76835"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-932815</wp:posOffset>
            </wp:positionV>
            <wp:extent cx="6858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5031105</wp:posOffset>
            </wp:positionH>
            <wp:positionV relativeFrom="paragraph">
              <wp:posOffset>-915670</wp:posOffset>
            </wp:positionV>
            <wp:extent cx="6858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-932815</wp:posOffset>
            </wp:positionV>
            <wp:extent cx="6858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6323965</wp:posOffset>
            </wp:positionH>
            <wp:positionV relativeFrom="paragraph">
              <wp:posOffset>-915670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-932815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-915670</wp:posOffset>
            </wp:positionV>
            <wp:extent cx="6858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888"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color w:val="auto"/>
        </w:rPr>
        <w:t>13.  Net Income Attributable to Company Per Share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weighted average basic and diluted shares outstanding (in millions, except per share data):</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7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4880" w:type="dxa"/>
            <w:vAlign w:val="bottom"/>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2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240" w:type="dxa"/>
            <w:vAlign w:val="bottom"/>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6"/>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Numerator:</w:t>
            </w:r>
          </w:p>
        </w:tc>
        <w:tc>
          <w:tcPr>
            <w:tcW w:w="86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52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500" w:type="dxa"/>
            <w:vAlign w:val="bottom"/>
            <w:shd w:val="clear" w:color="auto" w:fill="CFF0FC"/>
          </w:tcPr>
          <w:p>
            <w:pPr>
              <w:spacing w:after="0"/>
              <w:rPr>
                <w:sz w:val="20"/>
                <w:szCs w:val="20"/>
                <w:color w:val="auto"/>
              </w:rPr>
            </w:pPr>
          </w:p>
        </w:tc>
        <w:tc>
          <w:tcPr>
            <w:tcW w:w="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Net income attributable to Company</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7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Denominator:</w:t>
            </w: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Basic—weighted average common shares outstanding</w:t>
            </w:r>
          </w:p>
        </w:tc>
        <w:tc>
          <w:tcPr>
            <w:tcW w:w="86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394</w:t>
            </w: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88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Dilutive effect of employee stock options and other</w:t>
            </w:r>
          </w:p>
        </w:tc>
        <w:tc>
          <w:tcPr>
            <w:tcW w:w="860" w:type="dxa"/>
            <w:vAlign w:val="bottom"/>
            <w:shd w:val="clear" w:color="auto" w:fill="CFF0FC"/>
          </w:tcPr>
          <w:p>
            <w:pPr>
              <w:spacing w:after="0"/>
              <w:rPr>
                <w:sz w:val="18"/>
                <w:szCs w:val="18"/>
                <w:color w:val="auto"/>
              </w:rPr>
            </w:pPr>
          </w:p>
        </w:tc>
        <w:tc>
          <w:tcPr>
            <w:tcW w:w="5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3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02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4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unvested stock awards</w:t>
            </w:r>
          </w:p>
        </w:tc>
        <w:tc>
          <w:tcPr>
            <w:tcW w:w="860" w:type="dxa"/>
            <w:vAlign w:val="bottom"/>
            <w:tcBorders>
              <w:bottom w:val="single" w:sz="8" w:color="auto"/>
            </w:tcBorders>
            <w:shd w:val="clear" w:color="auto" w:fill="CFF0FC"/>
          </w:tcPr>
          <w:p>
            <w:pPr>
              <w:spacing w:after="0"/>
              <w:rPr>
                <w:sz w:val="20"/>
                <w:szCs w:val="20"/>
                <w:color w:val="auto"/>
              </w:rPr>
            </w:pPr>
          </w:p>
        </w:tc>
        <w:tc>
          <w:tcPr>
            <w:tcW w:w="520" w:type="dxa"/>
            <w:vAlign w:val="bottom"/>
            <w:tcBorders>
              <w:bottom w:val="single" w:sz="8" w:color="auto"/>
            </w:tcBorders>
            <w:vMerge w:val="continue"/>
            <w:shd w:val="clear" w:color="auto" w:fill="CFF0FC"/>
          </w:tcPr>
          <w:p>
            <w:pPr>
              <w:spacing w:after="0"/>
              <w:rPr>
                <w:sz w:val="20"/>
                <w:szCs w:val="20"/>
                <w:color w:val="auto"/>
              </w:rPr>
            </w:pPr>
          </w:p>
        </w:tc>
        <w:tc>
          <w:tcPr>
            <w:tcW w:w="320" w:type="dxa"/>
            <w:vAlign w:val="bottom"/>
            <w:tcBorders>
              <w:bottom w:val="single" w:sz="8" w:color="CFF0FC"/>
            </w:tcBorders>
            <w:shd w:val="clear" w:color="auto" w:fill="CFF0FC"/>
          </w:tcPr>
          <w:p>
            <w:pPr>
              <w:spacing w:after="0"/>
              <w:rPr>
                <w:sz w:val="20"/>
                <w:szCs w:val="20"/>
                <w:color w:val="auto"/>
              </w:rPr>
            </w:pPr>
          </w:p>
        </w:tc>
        <w:tc>
          <w:tcPr>
            <w:tcW w:w="520" w:type="dxa"/>
            <w:vAlign w:val="bottom"/>
            <w:tcBorders>
              <w:bottom w:val="single" w:sz="8" w:color="auto"/>
            </w:tcBorders>
            <w:shd w:val="clear" w:color="auto" w:fill="CFF0FC"/>
          </w:tcPr>
          <w:p>
            <w:pPr>
              <w:spacing w:after="0"/>
              <w:rPr>
                <w:sz w:val="20"/>
                <w:szCs w:val="20"/>
                <w:color w:val="auto"/>
              </w:rPr>
            </w:pPr>
          </w:p>
        </w:tc>
        <w:tc>
          <w:tcPr>
            <w:tcW w:w="860" w:type="dxa"/>
            <w:vAlign w:val="bottom"/>
            <w:tcBorders>
              <w:bottom w:val="single" w:sz="8" w:color="auto"/>
            </w:tcBorders>
            <w:vMerge w:val="continue"/>
            <w:shd w:val="clear" w:color="auto" w:fill="CFF0FC"/>
          </w:tcPr>
          <w:p>
            <w:pPr>
              <w:spacing w:after="0"/>
              <w:rPr>
                <w:sz w:val="20"/>
                <w:szCs w:val="20"/>
                <w:color w:val="auto"/>
              </w:rPr>
            </w:pPr>
          </w:p>
        </w:tc>
        <w:tc>
          <w:tcPr>
            <w:tcW w:w="260" w:type="dxa"/>
            <w:vAlign w:val="bottom"/>
            <w:tcBorders>
              <w:bottom w:val="single" w:sz="8" w:color="CFF0FC"/>
            </w:tcBorders>
            <w:shd w:val="clear" w:color="auto" w:fill="CFF0FC"/>
          </w:tcPr>
          <w:p>
            <w:pPr>
              <w:spacing w:after="0"/>
              <w:rPr>
                <w:sz w:val="20"/>
                <w:szCs w:val="20"/>
                <w:color w:val="auto"/>
              </w:rPr>
            </w:pPr>
          </w:p>
        </w:tc>
        <w:tc>
          <w:tcPr>
            <w:tcW w:w="3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500" w:type="dxa"/>
            <w:vAlign w:val="bottom"/>
            <w:tcBorders>
              <w:bottom w:val="single" w:sz="8" w:color="auto"/>
            </w:tcBorders>
            <w:shd w:val="clear" w:color="auto" w:fill="CFF0FC"/>
          </w:tcPr>
          <w:p>
            <w:pPr>
              <w:spacing w:after="0"/>
              <w:rPr>
                <w:sz w:val="20"/>
                <w:szCs w:val="20"/>
                <w:color w:val="auto"/>
              </w:rPr>
            </w:pPr>
          </w:p>
        </w:tc>
        <w:tc>
          <w:tcPr>
            <w:tcW w:w="84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2"/>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 outstanding shares</w:t>
            </w:r>
          </w:p>
        </w:tc>
        <w:tc>
          <w:tcPr>
            <w:tcW w:w="86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320" w:type="dxa"/>
            <w:vAlign w:val="bottom"/>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2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24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Company per share:</w:t>
            </w: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4880" w:type="dxa"/>
            <w:vAlign w:val="bottom"/>
            <w:tcBorders>
              <w:bottom w:val="single" w:sz="8" w:color="CFF0FC"/>
            </w:tcBorders>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Basic</w:t>
            </w:r>
          </w:p>
        </w:tc>
        <w:tc>
          <w:tcPr>
            <w:tcW w:w="860" w:type="dxa"/>
            <w:vAlign w:val="bottom"/>
            <w:tcBorders>
              <w:bottom w:val="single" w:sz="8" w:color="auto"/>
            </w:tcBorders>
            <w:shd w:val="clear" w:color="auto" w:fill="CFF0FC"/>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320" w:type="dxa"/>
            <w:vAlign w:val="bottom"/>
            <w:tcBorders>
              <w:bottom w:val="single" w:sz="8" w:color="CFF0FC"/>
            </w:tcBorders>
            <w:shd w:val="clear" w:color="auto" w:fill="CFF0FC"/>
          </w:tcPr>
          <w:p>
            <w:pPr>
              <w:spacing w:after="0"/>
              <w:rPr>
                <w:sz w:val="24"/>
                <w:szCs w:val="24"/>
                <w:color w:val="auto"/>
              </w:rPr>
            </w:pPr>
          </w:p>
        </w:tc>
        <w:tc>
          <w:tcPr>
            <w:tcW w:w="52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240" w:type="dxa"/>
            <w:vAlign w:val="bottom"/>
            <w:tcBorders>
              <w:bottom w:val="single" w:sz="8" w:color="CFF0FC"/>
            </w:tcBorders>
            <w:shd w:val="clear" w:color="auto" w:fill="CFF0FC"/>
          </w:tcPr>
          <w:p>
            <w:pPr>
              <w:spacing w:after="0"/>
              <w:rPr>
                <w:sz w:val="24"/>
                <w:szCs w:val="24"/>
                <w:color w:val="auto"/>
              </w:rPr>
            </w:pPr>
          </w:p>
        </w:tc>
        <w:tc>
          <w:tcPr>
            <w:tcW w:w="500" w:type="dxa"/>
            <w:vAlign w:val="bottom"/>
            <w:tcBorders>
              <w:bottom w:val="single" w:sz="8" w:color="auto"/>
            </w:tcBorders>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88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Diluted</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0.33</w:t>
            </w:r>
          </w:p>
        </w:tc>
        <w:tc>
          <w:tcPr>
            <w:tcW w:w="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0.29</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w:t>
            </w:r>
          </w:p>
        </w:tc>
        <w:tc>
          <w:tcPr>
            <w:tcW w:w="7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7"/>
        </w:trPr>
        <w:tc>
          <w:tcPr>
            <w:tcW w:w="488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52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 per share</w:t>
            </w:r>
          </w:p>
        </w:tc>
        <w:tc>
          <w:tcPr>
            <w:tcW w:w="860" w:type="dxa"/>
            <w:vAlign w:val="bottom"/>
          </w:tcPr>
          <w:p>
            <w:pPr>
              <w:jc w:val="right"/>
              <w:ind w:right="654"/>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0.075</w:t>
            </w:r>
          </w:p>
        </w:tc>
        <w:tc>
          <w:tcPr>
            <w:tcW w:w="8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0.05</w:t>
            </w:r>
          </w:p>
        </w:tc>
        <w:tc>
          <w:tcPr>
            <w:tcW w:w="58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74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88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3969385</wp:posOffset>
            </wp:positionH>
            <wp:positionV relativeFrom="paragraph">
              <wp:posOffset>-1189355</wp:posOffset>
            </wp:positionV>
            <wp:extent cx="7683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-1189355</wp:posOffset>
            </wp:positionV>
            <wp:extent cx="7683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-1189355</wp:posOffset>
            </wp:positionV>
            <wp:extent cx="6858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-1189355</wp:posOffset>
            </wp:positionV>
            <wp:extent cx="6858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-538480</wp:posOffset>
            </wp:positionV>
            <wp:extent cx="7683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3969385</wp:posOffset>
            </wp:positionH>
            <wp:positionV relativeFrom="paragraph">
              <wp:posOffset>-521970</wp:posOffset>
            </wp:positionV>
            <wp:extent cx="7683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-538480</wp:posOffset>
            </wp:positionV>
            <wp:extent cx="7683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5048250</wp:posOffset>
            </wp:positionH>
            <wp:positionV relativeFrom="paragraph">
              <wp:posOffset>-521970</wp:posOffset>
            </wp:positionV>
            <wp:extent cx="76835"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-538480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6067425</wp:posOffset>
            </wp:positionH>
            <wp:positionV relativeFrom="paragraph">
              <wp:posOffset>-521970</wp:posOffset>
            </wp:positionV>
            <wp:extent cx="6858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-538480</wp:posOffset>
            </wp:positionV>
            <wp:extent cx="6858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7"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Companies with unvested participating securities are required to utilize a two-class method for the computation of net income attributable to Company per share. The two-class method requires a portion of net income attributable to Company to be allocated to participating securities, which are unvested awards of share-based payments with non-forfeitable rights to receive dividends or dividend equivalents if declared. Net income attributable to the Company allocated to these participating securities was immaterial for each of the three and nine months ended September 30, 2024 and 2023, respectively.</w:t>
      </w:r>
    </w:p>
    <w:p>
      <w:pPr>
        <w:spacing w:after="0" w:line="74"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 had stock options outstanding that were anti-dilutive totaling 17 million and 16 million shares for the three and nine months ended September 30, 2024, respectively, compared to 19 million shares for both the three and nine months ended September 30,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Cash Dividends</w:t>
      </w:r>
    </w:p>
    <w:p>
      <w:pPr>
        <w:spacing w:after="0" w:line="12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Cash dividends were $29 million and $79 million for the three and nine months ended September 30, 2024, compared to $20 million and $60 million for the three and nine months ended September 30, 2023. The declaration and payment of future dividends is at the discretion of the Company’s Board of Directors and will be dependent upon the Company’s results of operations, financial condition, capital requirements and other factors deemed relevant by the Company’s Board of Directors.</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color w:val="auto"/>
        </w:rPr>
        <w:t>15.  Commitments and Contingencies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is governed by laws and regulations, including those directed to the oilfield service industry, promulgated by U.S. federal and state governments and regulatory agencies, as well as international governmental authorities in the many countries in which we conduct business. In the United States these governmental authorities include the U.S. Department of Labor, the Occupational Safety and Health Administration, the Environmental Protection Agency, the Bureau of Land Management, the Department of Treasury, Office of Foreign Assets Control, state environmental agencies and many others. We are unaware of any material liabilities in connection with our compliance with such laws. New laws, regulations and enforcement policies may result in additional, presently unquantifiable, or unknown, costs or liabilities.</w:t>
      </w:r>
    </w:p>
    <w:p>
      <w:pPr>
        <w:spacing w:after="0" w:line="7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From time to time, the Company is involved in various claims, regulatory agency audits, investigations and legal actions involving a variety of matters. The Company maintains insurance that covers claims such as third-party personal injury or property damage claims arising from risks associated with the business activities of the Company, including premises liability, product liability, marine risk, property damage, and other insurable losses. The Company carries substantial insurance to cover insurable risks above a self-insured retention. The Company also from time to time may be a party to claims, threatened and actual litigation, arbitration, and internal investigations of potential regulatory and compliance matters which may arise from the Company's business activities, some of which may not involve insured claims. The Company believes, and the Company’s experience has been, that such insurance has been sufficient to cover its material risks from operations.</w:t>
      </w:r>
    </w:p>
    <w:p>
      <w:pPr>
        <w:spacing w:after="0" w:line="7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regulatory matters and disputes which the Company faces may involve private parties and/or government authorities who may assert a broad variety of potential claims against the Company, such as employment law claims, collective actions or class action claims, intellectual property claims (such as alleged patent infringement, and/or misappropriation of trade secrets by the Company), premises liability claims, environmental claims, product liability claims, warranty claims, personal injury claims arising from exposure to or use of allegedly defective products or from activities of the Company, alleged regulatory violations, alleged violations of anti-corruption and anti-bribery, trade, customs or other laws and other commercial and/or regulatory claims seeking recovery for alleged actual or exemplary damages or fines and penalties. Such claims involve various theories of liability which may include negligence, breach of contract, strict liability, product liability, and others. For some of these contingent claims and potential liabilities, the Company’s insurance coverage may not apply, or exclusions to coverage or legal impediments may apply. In such instances, settlement or other resolution of such claims, individually or collectively, could have a material financial or reputational impact on the Company. As of September 30, 2024, in the ordinary course of business, the Company recorded reserves in an amount believed to be sufficient, given the estimated range of potential outcomes, for contingent liabilities believed to be probable. These reserves include costs currently and reasonably estimated to be incurred for reclamation of a closed barite mine and product liability claims, as well as other circumstances involving material claims. The Company periodically assesses the potential for losses above the amounts accrued as well as potential losses for matters that are believed to be not probable, but which are reasonably possible. The Company sets accruals in accordance with GAAP based on its best judgment about the probable results of disputed claims, regulatory enforcement actions, tax and other governmental audits, and other contingencies.</w:t>
      </w:r>
    </w:p>
    <w:p>
      <w:pPr>
        <w:spacing w:after="0" w:line="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litigation process and the outcome of regulatory oversight is inherently uncertain, and our best judgment concerning the probable outcome of litigation or regulatory enforcement matters may prove to be incorrect. No assurance can be given as to the outcome of these matters. The total potential loss on these matters cannot be determined; however, in our opinion, any ultimate liability, to the extent not otherwise provided for, should not materially affect our financial position, cash flow or results of operations. These estimated liabilities are based on the Company’s assessment of the nature of these matters, their progress toward resolution, the advice of legal counsel and outside experts as well as management’s experience. Because of the uncertainty and risk inherent to litigation, arbitration, audits, governmental investigations, enforcement actions, and similar matters, the Company’s actual liabilities incurred may materially exceed our estimated liabilities and reserves, which could have a material financial or reputational impact on the Company.</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many instances, the Company’s products and services embody or incorporate trade secrets or patented inventions. From time to time, we are engaged in disputes concerning protection of the Company’s trade secrets and confidential information, patents, and other intellectual property rights. Such disputes frequently involve complex, factual, technical and/or legal issues which result in high costs to adjudicate our rights and for which it may be difficult to predict the ultimate outcome. At any given time, the Company may be a plaintiff or defendant in disputes involving disputed intellectual property rights.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16" w:name="page17"/>
    <w:bookmarkEnd w:id="16"/>
    <w:p>
      <w:pPr>
        <w:jc w:val="both"/>
        <w:spacing w:after="0" w:line="251" w:lineRule="auto"/>
        <w:rPr>
          <w:sz w:val="20"/>
          <w:szCs w:val="20"/>
          <w:color w:val="auto"/>
        </w:rPr>
      </w:pPr>
      <w:r>
        <w:rPr>
          <w:rFonts w:ascii="Times New Roman" w:cs="Times New Roman" w:eastAsia="Times New Roman" w:hAnsi="Times New Roman"/>
          <w:sz w:val="18"/>
          <w:szCs w:val="18"/>
          <w:color w:val="auto"/>
        </w:rPr>
        <w:t>The Company is currently pursuing litigation against several companies involving royalties due under licenses for technology related to drill bits. This technology resulted in a portfolio of patents related to leaching technology, a revolutionary technology owned by the Company that improves the performance of drill bits and other products utilizing certain synthetic diamond parts. The Company previously sued several drill bit manufacturers for patent infringement and those lawsuits were resolved by a series of licensing agreements with various drill bit manufacturers. To settle and end litigation or to avoid litigation, the licensees were provided access to the portfolio of leaching patents owned by the Company in exchange for a royalty payment, as defined in each license agreement. The companies agreed to pay the royalties for the right to use the portfolio of patents, whether they used some, all or none of the specific patented claims in any particular patent. The license agreements provide that they terminate on the date of the last to expire of the patents in the licensed portfolio. Having obtained the benefit of these licenses for more than a decade, all of the drill bit manufacturer licensees unilaterally stopped making royalty payments even though all of the patents in the portfolio have not expired. These companies have asserted, among other reasons, that they are entitled to stop making these payments because they claim to not manufacture products covered by the unexpired patents. Some of these companies stopped making payments after the expiration of what are allegedly the patents in the portfolio that they elected to use. Others paid for some period of time after that date but have since stopped making payments. The Company has sued asserting that failure to pay the royalties is a breach of the license agreements at issue. The Company is in litigation with most of the licensees seeking a judicial determination that it is entitled to be paid royalties pursuant to the terms of the licenses. The licensees have responded with a number of alleged defenses and requests for declaratory judgment all focused on avoiding the payments called for under the licenses. The parties’ legal filings to date can be found in two cases currently pending in the United States District Court for the Southern District of Texas: Grant Prideco, Inc., et al. v. Schlumberger Tech. Corp., et al., No. 4:23-cv-00730; and Halliburton Energy Serv, Inc. v. Grant Prideco, Inc., et al., No. 4:23-cv-01789. While the Company strongly believes that the royalties for which it has sued are due and owing pursuant to the terms of the licensing agreements, there is inherent risk with the related litigation and the Company makes no assurances as to the outcome of such litigation. See Note 7 to the Consolidated Financial Statements for discussion of the financial impact of royalties.</w:t>
      </w:r>
    </w:p>
    <w:p>
      <w:pPr>
        <w:spacing w:after="0" w:line="9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protection of intellectual property is important to the Company’s performance, and as such, an adverse result in disputes related to our intellectual property could result in materially adverse financial consequences such as a decline in sales of products protected by patents, which could materially and adversely impact our financial performance.</w:t>
      </w:r>
    </w:p>
    <w:p>
      <w:pPr>
        <w:spacing w:after="0" w:line="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From time to time purchasers of our products and services or members of our supply chain or sales chain become involved in litigation, governmental investigations, internal investigations, political or other enforcement matters, or other dispute proceedings. In such circumstances, such proceedings may adversely impact the ability of purchasers of our products, entities providing financial support to such consumers or entities in the supply chain or sales chain to timely perform their business plans or to timely perform under agreements with us. We may, from time to time, become involved in these proceedings at substantial cost to the Company.</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Company is exposed to customs and trade regulation risk in the countries in which we do business and countries from which, or to which, we import or export goods. Such trade regulations can be complex and conflicting, as different countries use trade regulation to promote conflicting policy objectives. Compliance with these laws and regulations presents challenges which could result in future liabilities (for example, alleged violation of those laws or when laws conflict between countries). The Company may face increased tariffs and trade costs, loss of revenue, loss of customers, fines, penalties, increased costs, the need for renegotiation of agreements, and other business disruptions. Trade regulations, supply chain regulations, and other regulatory compliance in different jurisdictions may conflict with one another or with contractual terms with our various counterparties. In such circumstances, our compliance with U.S. laws and regulations may subject us to risk of fines, penalties, or contractual liability in other jurisdictions. Our efforts to actively manage such risks may not always be successful, and this could lead to negative impacts on revenue or earnings. In addition, trade regulations, export controls, and other laws adversely impact our ability to do business in certain countries, e.g., Iran, Syria, Russia, China and Venezuela.</w:t>
      </w:r>
    </w:p>
    <w:p>
      <w:pPr>
        <w:spacing w:after="0" w:line="7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response to additional sanctions enacted by governments in the European Union, the United States, the United Kingdom, Switzerland, and other countries regarding the armed conflict in Ukraine, we ceased new investments in Russia and have curtailed our activities there. During the third quarter of 2022, we sold our business in Belarus and entered into an agreement to sell our business in Russia. The sale is subject to various government approvals in Russia and other jurisdictions. The Russian government continues to enact new laws impacting the exit of western companies from Russia, including some instances of expropriation of western businesses. We may incur additional costs as a result of conditions in Russia if we are unable to complete the transaction to sell our Russian business on the terms of the agreements.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Geopolitical events continue to pose supply chain and other business risks. The Company’s ability to manufacture equipment and perform services could be impaired by such disruptions and the Company could be exposed to liabilities resulting from additional interruption or delay in its ability to perform due to factors such as materials shortages, inflationary pressures, limited manpower or otherwise. We may face loss of workers, labor shortages, litigation, fines and/or other adverse consequences resulting from ongoing labor impacts. The combined impact of supply chain and labor market disruptions along with the inflationary impacts of pandemic monetary and regulatory policies could have material adverse impacts on our financial results.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7" w:name="page18"/>
    <w:bookmarkEnd w:id="17"/>
    <w:p>
      <w:pPr>
        <w:jc w:val="both"/>
        <w:spacing w:after="0" w:line="255" w:lineRule="auto"/>
        <w:rPr>
          <w:sz w:val="20"/>
          <w:szCs w:val="20"/>
          <w:color w:val="auto"/>
        </w:rPr>
      </w:pPr>
      <w:r>
        <w:rPr>
          <w:rFonts w:ascii="Times New Roman" w:cs="Times New Roman" w:eastAsia="Times New Roman" w:hAnsi="Times New Roman"/>
          <w:sz w:val="18"/>
          <w:szCs w:val="18"/>
          <w:color w:val="auto"/>
        </w:rPr>
        <w:t>Disputes may arise from a variety of causes, including weather impacts, cyber, geopolitical, regulatory or other business risks, triggering application of force majeure and other contract provisions concerning allocation of responsibility among customers, the Company, and suppliers, resulting in material added cost and/or litigation. Our customers may attempt to cancel or delay projects, cancel contracts, or may invoke force majeure clauses. Our customers may also seek to delay or may default on their payments to us. As a result, the Company may be exposed to additional costs, liabilities and risks which could materially adversely impact our financial performance and results. These potential operational and service delays could result in contractual or other legal claims from our customers. At this time, it is not possible to quantify all these risks, but the combination of these factors could have a material impact on our financial results.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Share Repurchase Program</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April 25, 2024, the Company established a share repurchase program for up to $1 billion of the currently outstanding shares of the Company’s common stock over a period of 36 months. Under the share repurchase program, the Company may repurchase shares from time to time through open market purchases, in privately negotiated transactions or by other means, including through the use of trading plans intended to qualify under Rule 10b5-1 under the Securities Exchange Act of 1934 (the “Exchange Act”), as amended, in accordance with applicable securities laws and other restrictions, including Rule 10b-18. The timing and total amount of any stock repurchases will depend upon business, economic and market conditions, corporate and regulatory requirements, prevailing stock prices and other considerations.</w:t>
      </w:r>
    </w:p>
    <w:p>
      <w:pPr>
        <w:spacing w:after="0" w:line="7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intends to fund the repurchases using its available U.S. cash balances, which may involve the repatriation of foreign earnings not indefinitely reinvested. However, depending on U.S cash balances, the Company may choose to borrow against its revolving credit facility or issue new debt to finance the repurchases. As shares are repurchased, they are constructively retired and returned to an unissued state. During the three months ended September 30, 2024, the Company repurchased 4.6 million shares of common stock under the program for an aggregate amount of $80 million. During the nine months ended September 30, 2024, the Company repurchased 6.6 million shares of common stock under the program for an aggregate amount of $117 million.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18" w:name="page19"/>
    <w:bookmarkEnd w:id="18"/>
    <w:p>
      <w:pPr>
        <w:ind w:right="3820"/>
        <w:spacing w:after="0" w:line="377" w:lineRule="auto"/>
        <w:rPr>
          <w:sz w:val="20"/>
          <w:szCs w:val="20"/>
          <w:color w:val="auto"/>
        </w:rPr>
      </w:pPr>
      <w:r>
        <w:rPr>
          <w:rFonts w:ascii="Times New Roman" w:cs="Times New Roman" w:eastAsia="Times New Roman" w:hAnsi="Times New Roman"/>
          <w:sz w:val="18"/>
          <w:szCs w:val="18"/>
          <w:b w:val="1"/>
          <w:bCs w:val="1"/>
          <w:color w:val="auto"/>
        </w:rPr>
        <w:t xml:space="preserve">Item 2. Management’s Discussion and Analysis of Financial Condition and Results of Operations </w:t>
      </w:r>
      <w:r>
        <w:rPr>
          <w:rFonts w:ascii="Times New Roman" w:cs="Times New Roman" w:eastAsia="Times New Roman" w:hAnsi="Times New Roman"/>
          <w:sz w:val="18"/>
          <w:szCs w:val="18"/>
          <w:i w:val="1"/>
          <w:iCs w:val="1"/>
          <w:color w:val="auto"/>
        </w:rPr>
        <w:t>Introduction</w:t>
      </w:r>
    </w:p>
    <w:p>
      <w:pPr>
        <w:spacing w:after="0" w:line="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NOV Inc. (“NOV” or the “Company”) is a leading independent equipment and technology provider to the global energy industry. Originally founded in 1862, NOV and its predecessor companies have spent 162 years helping transform oil and gas field development and improving its cost-effectiveness, efficiency, safety, and environmental impact. Over the past few decades, the Company has pioneered and refined key technologies to improve the economic viability of frontier resources, including unconventional and deepwater oil and gas. More recently, by applying its deep expertise and technology, the company has helped advance the transition toward sustainable energy.</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NOV’s extensive proprietary technology portfolio supports the industry’s full-field drilling, completion, and production needs. With unmatched cross-segment capabilities, scope, and scale, NOV continues to develop and introduce technologies that further enhance the economics and efficiencies of energy production, with a focus on automation, predictive analytics, and condition-based maintenance.</w:t>
      </w:r>
    </w:p>
    <w:p>
      <w:pPr>
        <w:spacing w:after="0" w:line="6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NOV serves major-diversified, national, and independent service companies, contractors, and energy producers in 60 countries. Effective January 1, 2024, NOV consolidated its reporting structure into two segments: Energy Products and Services, and Energy Equipment. Segment disclosures pertaining to prior periods have been restated to reflect the change in reportable segments.</w:t>
      </w:r>
    </w:p>
    <w:p>
      <w:pPr>
        <w:spacing w:after="0" w:line="6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Results of operations are presented in accordance with accounting principles generally accepted in the United States (“GAAP”). Certain reclassifications have been made to prior period financial information in order to conform with current period presentation. The Company discloses Adjusted EBITDA (defined as operating profit excluding depreciation, amortization, gains and losses on sales of fixed assets and, when applicable, Other Items) in its periodic earnings press releases and other public disclosures to provide investors additional information about the results of ongoing operations. See Non-GAAP Financial Measures and Reconciliations in Results of Operations for an explanation of our use of non-GAAP financial measures and reconciliations to their corresponding measures calculated in accordance with GAAP.</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Energy Products and Services segment primarily designs, manufactures, rents, and sells products and equipment used in drilling, intervention, completion, and production activities. Products include drill bits, downhole tools, premium drill pipe, drilling fluids, managed pressure drilling, integral and weld-on connectors for conductor strings and surface casing, completion tools, and artificial lift systems. The segment also designs, manufactures, and delivers high-end composite pipe, tanks, and structures engineered to solve both corrosion and weight challenges in a wide variety of applications, including oil and gas, chemical, industrial, wastewater, fuel handling, marine and offshore, and rare earth mineral extraction.</w:t>
      </w:r>
    </w:p>
    <w:p>
      <w:pPr>
        <w:spacing w:after="0" w:line="11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In addition to product and equipment sales, the segment provides services, software, and digital solutions to improve drilling and completion operational performance. Services include tubular inspection and coating, solids control, waste management , and managed pressure drilling. Software and digital solutions offered include drilling and completion optimization and remote monitoring (via downhole and surface instrumentation), wired drill pipe services, software controls and applications, and data management and analytics services at the edge and in the cloud.</w:t>
      </w:r>
    </w:p>
    <w:p>
      <w:pPr>
        <w:spacing w:after="0" w:line="101"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Energy Products and Services serves oil and gas companies, drilling contractors, oilfield service companies, oilfield equipment rental companies and developers of geothermal energy. Demand for the segment’s products and services primarily depends on the level of oilfield drilling activity by oil and gas companies, drilling contractors, and oilfield service companies. Demand for the segment’s composite solutions serving applications outside of oil and gas are driven by industrial activity, infrastructure spend, and population growth.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Company’s Energy Equipment segment manufactures and supports the capital equipment and integrated systems needed for oil and gas exploration and production, both onshore and offshore, as well as for other marine-based, industrial and renewable energy markets.</w:t>
      </w:r>
    </w:p>
    <w:p>
      <w:pPr>
        <w:spacing w:after="0" w:line="5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segment designs, manufactures, and integrates technologies for drilling and producing oil and gas wells. This includes equipment and technologies needed for drilling, including land rigs, offshore drilling equipment packages, drilling rig components, and software control systems that mechanize and automate the drilling process and rig functionality; hydraulic fracture stimulation, including pressure pumping trucks, blenders, sanders, hydration units, injection units, flowline, and manifolds; well intervention, including coiled tubing units, coiled tubing, and wireline units and tools; cementing products for pumping, mixing, transport, and storage; onshore production, including fluid processing, and surface transfer as well as progressive cavity pumps; offshore production, including integrated production systems and subsea production technologies; and aftermarket support of these technologies, providing spare parts, service, and repair.</w:t>
      </w:r>
    </w:p>
    <w:p>
      <w:pPr>
        <w:spacing w:after="0" w:line="7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Energy Equipment primarily serves contract drillers, oilfield service companies, and oil and gas companies. Demand for the segment’s products primarily depends on capital spending plans by drilling contractors, service companies, and oil and gas companies; and secondarily on the overall level of oilfield drilling, completions, and workover activity which drives demand for equipment, spare parts, service, and repair for the segment’s large installed base of equipment.</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19" w:name="page20"/>
    <w:bookmarkEnd w:id="19"/>
    <w:p>
      <w:pPr>
        <w:jc w:val="both"/>
        <w:spacing w:after="0" w:line="260" w:lineRule="auto"/>
        <w:rPr>
          <w:sz w:val="20"/>
          <w:szCs w:val="20"/>
          <w:color w:val="auto"/>
        </w:rPr>
      </w:pPr>
      <w:r>
        <w:rPr>
          <w:rFonts w:ascii="Times New Roman" w:cs="Times New Roman" w:eastAsia="Times New Roman" w:hAnsi="Times New Roman"/>
          <w:sz w:val="18"/>
          <w:szCs w:val="18"/>
          <w:color w:val="auto"/>
        </w:rPr>
        <w:t>The segment also serves marine and offshore markets, where it designs and builds equipment for wind turbine installation and cable lay vessels, and offers heavy lift cranes and jacking systems; industrial markets, where the segment provides pumps and mixers for a wide breadth of industrial end markets; and other energy transition markets, where it is applying its gas processing expertise to provide solutions that aid in wind power development, hydrogen production and carbon sequestration.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our annual report on Form 10-K for the year ended December 31, 2023, we identified our most critical accounting policies. In preparing the financial statements, we make assumptions, estimates and judgments that affect the amounts reported. We periodically evaluate our estimates and judgments that are most critical in nature which are related to revenue recognition under long-term construction contracts, impairment of goodwill and other indefinite-lived intangible assets, and income taxes. Our estimates are based on historical experience and on our future expectations that we believe are reasonable. The combination of these factors forms the basis for making judgments about the carrying values of assets and liabilities that are not readily apparent from other sources. Actual results are likely to differ from our current estimates and those differences may be material.</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third quarter ended September 30, 2024, the Company generated revenues of $2.19 billion, an increase of $6 million compared to the third quarter of 2023. Net income increased 14 percent to $130 million, or 5.9 percent of sales, an increase of $16 million compared to the third quarter of 2023. Operating profit increased $11 million from the prior year to $194 million, or 8.9 percent of sales. The company recorded $5 million within Other Items, primarily related to severance pay. Adjusted EBITDA (operating profit excluding depreciation, amortization, gains and losses on sales of fixed assets and, when applicable, Other Items) increased 7 percent year-over-year to $286 million, or 13.1 percent of sales.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Performance</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Energy Products and Services generated revenues of $1,003 million in the third quarter of 2024, a decrease of 3 percent from the third quarter of 2023. Operating profit decreased $31 million from the prior year to $114 million, or 11.4 percent of sales, and included $3 million in Other Items. Adjusted EBITDA decreased $25 million from the prior year to $172 million, or 17.1 percent of sales. The decrease in revenue and profit was primarily due to lower drilling activity levels in North America, partially offset by contributions from the Company's recent artificial lift acquisition..</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Energy Equipment generated revenues of $1,219 million in the third quarter of 2024, an increase of 2 percent from the third quarter of 2023. Operating profit increased $31 million from the prior year to $129 million, or 10.6 percent of sales, and included $1 million in Other Items. Adjusted EBITDA increased $35 million from the prior year to $159 million, or 13.0 percent of sales. Improved profitability was the result of strong execution on the segment’s improving backlog and better demand for aftermarket parts and services.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New orders booked during the quarter totaled $627 million, an increase of $79 million when compared to the $548 million of new orders booked during the third quarter of 2023. Orders shipped from backlog in the third quarter of 2024 were $563 million, representing a book-to-bill of 111 percent, compared to the $537 million orders shipped and a book-to-bill of 102 percent in the third quarter of 2023. As of September 30, 2024, backlog for capital equipment orders for Energy Equipment was $4,478 million, an increase of $485 million from the third quarter of 2023.</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color w:val="auto"/>
        </w:rPr>
        <w:t>Oil &amp; Gas Equipment and Services Market and Outlook</w:t>
      </w:r>
    </w:p>
    <w:p>
      <w:pPr>
        <w:spacing w:after="0" w:line="121"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The macro environment and geopolitical uncertainties continue to drive volatility and pressure commodity prices with oil prices reflecting growing concerns regarding diminishing demand from weakening global economies, excess OPEC capacity, and rising non-OPEC production. These concerns along with ample supplies of natural gas in North America are increasing cautiousness among oil and gas producers, resulting in lower drilling activity in the U.S. land market and are beginning to affect shorter-cycle activity in international markets.</w:t>
      </w:r>
    </w:p>
    <w:p>
      <w:pPr>
        <w:spacing w:after="0" w:line="74" w:lineRule="exact"/>
        <w:rPr>
          <w:sz w:val="20"/>
          <w:szCs w:val="20"/>
          <w:color w:val="auto"/>
        </w:rPr>
      </w:pPr>
    </w:p>
    <w:p>
      <w:pPr>
        <w:jc w:val="both"/>
        <w:ind w:right="100"/>
        <w:spacing w:after="0" w:line="258" w:lineRule="auto"/>
        <w:rPr>
          <w:sz w:val="20"/>
          <w:szCs w:val="20"/>
          <w:color w:val="auto"/>
        </w:rPr>
      </w:pPr>
      <w:r>
        <w:rPr>
          <w:rFonts w:ascii="Times New Roman" w:cs="Times New Roman" w:eastAsia="Times New Roman" w:hAnsi="Times New Roman"/>
          <w:sz w:val="18"/>
          <w:szCs w:val="18"/>
          <w:color w:val="auto"/>
        </w:rPr>
        <w:t>Despite growing concerns that global oil and U.S. natural gas markets may be oversupplied in 2025, management believes commodity prices and activity levels should remain relatively rangebound, with any pullback in activity short-lived, and that the industry remains in an extended recovery due to: (1) current inventory levels in relation to OECD demand that are lower than historical averages; (2) natural oil production decline rates that average almost 15 percent; (3) anticipated increases in LNG exports from the U.S.; (4) increasing focus on energy security; and (5) capital discipline across the industry, which has diminished the global oil and gas industry’s ability to easily ramp production.</w:t>
      </w:r>
    </w:p>
    <w:p>
      <w:pPr>
        <w:spacing w:after="0" w:line="74" w:lineRule="exact"/>
        <w:rPr>
          <w:sz w:val="20"/>
          <w:szCs w:val="20"/>
          <w:color w:val="auto"/>
        </w:rPr>
      </w:pPr>
    </w:p>
    <w:p>
      <w:pPr>
        <w:jc w:val="both"/>
        <w:ind w:right="100"/>
        <w:spacing w:after="0" w:line="260" w:lineRule="auto"/>
        <w:rPr>
          <w:sz w:val="20"/>
          <w:szCs w:val="20"/>
          <w:color w:val="auto"/>
        </w:rPr>
      </w:pPr>
      <w:r>
        <w:rPr>
          <w:rFonts w:ascii="Times New Roman" w:cs="Times New Roman" w:eastAsia="Times New Roman" w:hAnsi="Times New Roman"/>
          <w:sz w:val="18"/>
          <w:szCs w:val="18"/>
          <w:color w:val="auto"/>
        </w:rPr>
        <w:t>Regardless of the operating environment, NOV remains committed to improving organizational efficiencies while focusing on the development and commercialization of innovative products and services, including technologies to reduce the environmental impact of oil and gas operations, and technologies to accelerate the energy transition that are responsive to the longer-term needs of NOV’s customers. We believe this strategy will further advance the Company’s competitive position in all market conditions.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Environment Overview</w:t>
      </w:r>
    </w:p>
    <w:p>
      <w:pPr>
        <w:spacing w:after="0" w:line="121" w:lineRule="exact"/>
        <w:rPr>
          <w:sz w:val="20"/>
          <w:szCs w:val="20"/>
          <w:color w:val="auto"/>
        </w:rPr>
      </w:pPr>
    </w:p>
    <w:p>
      <w:pPr>
        <w:jc w:val="both"/>
        <w:ind w:right="100"/>
        <w:spacing w:after="0" w:line="255" w:lineRule="auto"/>
        <w:rPr>
          <w:sz w:val="20"/>
          <w:szCs w:val="20"/>
          <w:color w:val="auto"/>
        </w:rPr>
      </w:pPr>
      <w:r>
        <w:rPr>
          <w:rFonts w:ascii="Times New Roman" w:cs="Times New Roman" w:eastAsia="Times New Roman" w:hAnsi="Times New Roman"/>
          <w:sz w:val="18"/>
          <w:szCs w:val="18"/>
          <w:color w:val="auto"/>
        </w:rPr>
        <w:t>The Company’s results are dependent on, among other things, the level of worldwide oil and gas drilling, well remediation activity, the prices of crude oil and natural gas, capital spending by exploration and production companies and drilling contractors, worldwide oil and gas inventory levels and, to a lesser degree, the level of investment in wind and geothermal energy products. Key industry indicators for the third quarter of 2024 and 2023, and the second quarter of 2024 include the following:</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48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 increase (decrease)</w:t>
            </w:r>
          </w:p>
        </w:tc>
        <w:tc>
          <w:tcPr>
            <w:tcW w:w="0" w:type="dxa"/>
            <w:vAlign w:val="bottom"/>
          </w:tcPr>
          <w:p>
            <w:pPr>
              <w:spacing w:after="0"/>
              <w:rPr>
                <w:sz w:val="1"/>
                <w:szCs w:val="1"/>
                <w:color w:val="auto"/>
              </w:rPr>
            </w:pPr>
          </w:p>
        </w:tc>
      </w:tr>
      <w:tr>
        <w:trPr>
          <w:trHeight w:val="158"/>
        </w:trPr>
        <w:tc>
          <w:tcPr>
            <w:tcW w:w="5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Borders>
              <w:top w:val="single" w:sz="8" w:color="auto"/>
            </w:tcBorders>
            <w:gridSpan w:val="3"/>
          </w:tcPr>
          <w:p>
            <w:pPr>
              <w:jc w:val="right"/>
              <w:ind w:right="660"/>
              <w:spacing w:after="0" w:line="157" w:lineRule="exact"/>
              <w:rPr>
                <w:sz w:val="20"/>
                <w:szCs w:val="20"/>
                <w:color w:val="auto"/>
              </w:rPr>
            </w:pPr>
            <w:r>
              <w:rPr>
                <w:rFonts w:ascii="Times New Roman" w:cs="Times New Roman" w:eastAsia="Times New Roman" w:hAnsi="Times New Roman"/>
                <w:sz w:val="14"/>
                <w:szCs w:val="14"/>
                <w:b w:val="1"/>
                <w:bCs w:val="1"/>
                <w:color w:val="auto"/>
              </w:rPr>
              <w:t>3Q24 v</w:t>
            </w:r>
          </w:p>
        </w:tc>
        <w:tc>
          <w:tcPr>
            <w:tcW w:w="900" w:type="dxa"/>
            <w:vAlign w:val="bottom"/>
            <w:tcBorders>
              <w:top w:val="single" w:sz="8" w:color="auto"/>
            </w:tcBorders>
          </w:tcPr>
          <w:p>
            <w:pPr>
              <w:jc w:val="right"/>
              <w:ind w:right="235"/>
              <w:spacing w:after="0" w:line="157" w:lineRule="exact"/>
              <w:rPr>
                <w:sz w:val="20"/>
                <w:szCs w:val="20"/>
                <w:color w:val="auto"/>
              </w:rPr>
            </w:pPr>
            <w:r>
              <w:rPr>
                <w:rFonts w:ascii="Times New Roman" w:cs="Times New Roman" w:eastAsia="Times New Roman" w:hAnsi="Times New Roman"/>
                <w:sz w:val="14"/>
                <w:szCs w:val="14"/>
                <w:b w:val="1"/>
                <w:bCs w:val="1"/>
                <w:color w:val="auto"/>
              </w:rPr>
              <w:t>3Q24 v</w:t>
            </w:r>
          </w:p>
        </w:tc>
        <w:tc>
          <w:tcPr>
            <w:tcW w:w="20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5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3Q24*</w:t>
            </w: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3Q23*</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2Q24*</w:t>
            </w:r>
          </w:p>
        </w:tc>
        <w:tc>
          <w:tcPr>
            <w:tcW w:w="1380" w:type="dxa"/>
            <w:vAlign w:val="bottom"/>
            <w:gridSpan w:val="3"/>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3Q23</w:t>
            </w:r>
          </w:p>
        </w:tc>
        <w:tc>
          <w:tcPr>
            <w:tcW w:w="1100" w:type="dxa"/>
            <w:vAlign w:val="bottom"/>
            <w:gridSpan w:val="3"/>
          </w:tcPr>
          <w:p>
            <w:pPr>
              <w:jc w:val="right"/>
              <w:ind w:right="560"/>
              <w:spacing w:after="0"/>
              <w:rPr>
                <w:sz w:val="20"/>
                <w:szCs w:val="20"/>
                <w:color w:val="auto"/>
              </w:rPr>
            </w:pPr>
            <w:r>
              <w:rPr>
                <w:rFonts w:ascii="Times New Roman" w:cs="Times New Roman" w:eastAsia="Times New Roman" w:hAnsi="Times New Roman"/>
                <w:sz w:val="14"/>
                <w:szCs w:val="14"/>
                <w:b w:val="1"/>
                <w:bCs w:val="1"/>
                <w:color w:val="auto"/>
              </w:rPr>
              <w:t>2Q24</w:t>
            </w:r>
          </w:p>
        </w:tc>
        <w:tc>
          <w:tcPr>
            <w:tcW w:w="0" w:type="dxa"/>
            <w:vAlign w:val="bottom"/>
          </w:tcPr>
          <w:p>
            <w:pPr>
              <w:spacing w:after="0"/>
              <w:rPr>
                <w:sz w:val="1"/>
                <w:szCs w:val="1"/>
                <w:color w:val="auto"/>
              </w:rPr>
            </w:pPr>
          </w:p>
        </w:tc>
      </w:tr>
      <w:tr>
        <w:trPr>
          <w:trHeight w:val="236"/>
        </w:trPr>
        <w:tc>
          <w:tcPr>
            <w:tcW w:w="5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b w:val="1"/>
                <w:bCs w:val="1"/>
                <w:color w:val="auto"/>
              </w:rPr>
              <w:t>Active Drilling Rigs:</w:t>
            </w: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2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760" w:type="dxa"/>
            <w:vAlign w:val="bottom"/>
            <w:tcBorders>
              <w:top w:val="single" w:sz="8" w:color="auto"/>
            </w:tcBorders>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00" w:type="dxa"/>
            <w:vAlign w:val="bottom"/>
            <w:tcBorders>
              <w:top w:val="single" w:sz="8" w:color="auto"/>
            </w:tcBorders>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900" w:type="dxa"/>
            <w:vAlign w:val="bottom"/>
            <w:tcBorders>
              <w:top w:val="single" w:sz="8" w:color="auto"/>
            </w:tcBorders>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U.S.</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651</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602</w:t>
            </w:r>
          </w:p>
        </w:tc>
        <w:tc>
          <w:tcPr>
            <w:tcW w:w="20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(10.0 %)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(2.7 %)</w:t>
            </w:r>
          </w:p>
        </w:tc>
        <w:tc>
          <w:tcPr>
            <w:tcW w:w="0" w:type="dxa"/>
            <w:vAlign w:val="bottom"/>
          </w:tcPr>
          <w:p>
            <w:pPr>
              <w:spacing w:after="0"/>
              <w:rPr>
                <w:sz w:val="1"/>
                <w:szCs w:val="1"/>
                <w:color w:val="auto"/>
              </w:rPr>
            </w:pPr>
          </w:p>
        </w:tc>
      </w:tr>
      <w:tr>
        <w:trPr>
          <w:trHeight w:val="238"/>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Canada</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137</w:t>
            </w:r>
          </w:p>
        </w:tc>
        <w:tc>
          <w:tcPr>
            <w:tcW w:w="200" w:type="dxa"/>
            <w:vAlign w:val="bottom"/>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11.2 %</w:t>
            </w:r>
          </w:p>
        </w:tc>
        <w:tc>
          <w:tcPr>
            <w:tcW w:w="160" w:type="dxa"/>
            <w:vAlign w:val="bottom"/>
          </w:tcPr>
          <w:p>
            <w:pPr>
              <w:spacing w:after="0"/>
              <w:rPr>
                <w:sz w:val="20"/>
                <w:szCs w:val="20"/>
                <w:color w:val="auto"/>
              </w:rPr>
            </w:pP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52.6 %</w:t>
            </w:r>
          </w:p>
        </w:tc>
        <w:tc>
          <w:tcPr>
            <w:tcW w:w="0" w:type="dxa"/>
            <w:vAlign w:val="bottom"/>
          </w:tcPr>
          <w:p>
            <w:pPr>
              <w:spacing w:after="0"/>
              <w:rPr>
                <w:sz w:val="1"/>
                <w:szCs w:val="1"/>
                <w:color w:val="auto"/>
              </w:rPr>
            </w:pPr>
          </w:p>
        </w:tc>
      </w:tr>
      <w:tr>
        <w:trPr>
          <w:trHeight w:val="243"/>
        </w:trPr>
        <w:tc>
          <w:tcPr>
            <w:tcW w:w="52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International</w:t>
            </w: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932</w:t>
            </w:r>
          </w:p>
        </w:tc>
        <w:tc>
          <w:tcPr>
            <w:tcW w:w="2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951</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956</w:t>
            </w:r>
          </w:p>
        </w:tc>
        <w:tc>
          <w:tcPr>
            <w:tcW w:w="200" w:type="dxa"/>
            <w:vAlign w:val="bottom"/>
          </w:tcPr>
          <w:p>
            <w:pPr>
              <w:spacing w:after="0"/>
              <w:rPr>
                <w:sz w:val="21"/>
                <w:szCs w:val="21"/>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(2.5 %)</w:t>
            </w:r>
          </w:p>
        </w:tc>
        <w:tc>
          <w:tcPr>
            <w:tcW w:w="0" w:type="dxa"/>
            <w:vAlign w:val="bottom"/>
          </w:tcPr>
          <w:p>
            <w:pPr>
              <w:spacing w:after="0"/>
              <w:rPr>
                <w:sz w:val="1"/>
                <w:szCs w:val="1"/>
                <w:color w:val="auto"/>
              </w:rPr>
            </w:pPr>
          </w:p>
        </w:tc>
      </w:tr>
      <w:tr>
        <w:trPr>
          <w:trHeight w:val="27"/>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8"/>
                <w:szCs w:val="18"/>
                <w:color w:val="auto"/>
              </w:rPr>
              <w:t>Worldwide</w:t>
            </w: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4"/>
        </w:trPr>
        <w:tc>
          <w:tcPr>
            <w:tcW w:w="522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w:t>
            </w: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1,790</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1,695</w:t>
            </w:r>
          </w:p>
        </w:tc>
        <w:tc>
          <w:tcPr>
            <w:tcW w:w="20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(3.5 %)</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1.9 %</w:t>
            </w:r>
          </w:p>
        </w:tc>
        <w:tc>
          <w:tcPr>
            <w:tcW w:w="0" w:type="dxa"/>
            <w:vAlign w:val="bottom"/>
          </w:tcPr>
          <w:p>
            <w:pPr>
              <w:spacing w:after="0"/>
              <w:rPr>
                <w:sz w:val="1"/>
                <w:szCs w:val="1"/>
                <w:color w:val="auto"/>
              </w:rPr>
            </w:pPr>
          </w:p>
        </w:tc>
      </w:tr>
      <w:tr>
        <w:trPr>
          <w:trHeight w:val="458"/>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West Texas Intermediate</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5220" w:type="dxa"/>
            <w:vAlign w:val="bottom"/>
          </w:tcPr>
          <w:p>
            <w:pPr>
              <w:ind w:left="160"/>
              <w:spacing w:after="0"/>
              <w:rPr>
                <w:sz w:val="20"/>
                <w:szCs w:val="20"/>
                <w:color w:val="auto"/>
              </w:rPr>
            </w:pPr>
            <w:r>
              <w:rPr>
                <w:rFonts w:ascii="Times New Roman" w:cs="Times New Roman" w:eastAsia="Times New Roman" w:hAnsi="Times New Roman"/>
                <w:sz w:val="18"/>
                <w:szCs w:val="18"/>
                <w:b w:val="1"/>
                <w:bCs w:val="1"/>
                <w:color w:val="auto"/>
              </w:rPr>
              <w:t>Crude Prices (per barrel)</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76.24</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81.71</w:t>
            </w:r>
          </w:p>
        </w:tc>
        <w:tc>
          <w:tcPr>
            <w:tcW w:w="200" w:type="dxa"/>
            <w:vAlign w:val="bottom"/>
          </w:tcPr>
          <w:p>
            <w:pPr>
              <w:spacing w:after="0"/>
              <w:rPr>
                <w:sz w:val="20"/>
                <w:szCs w:val="20"/>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(7.4 %)</w:t>
            </w: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(6.7 %)</w:t>
            </w:r>
          </w:p>
        </w:tc>
        <w:tc>
          <w:tcPr>
            <w:tcW w:w="0" w:type="dxa"/>
            <w:vAlign w:val="bottom"/>
          </w:tcPr>
          <w:p>
            <w:pPr>
              <w:spacing w:after="0"/>
              <w:rPr>
                <w:sz w:val="1"/>
                <w:szCs w:val="1"/>
                <w:color w:val="auto"/>
              </w:rPr>
            </w:pPr>
          </w:p>
        </w:tc>
      </w:tr>
      <w:tr>
        <w:trPr>
          <w:trHeight w:val="485"/>
        </w:trPr>
        <w:tc>
          <w:tcPr>
            <w:tcW w:w="52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Natural Gas Prices ($/mmbtu)</w:t>
            </w: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4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w:t>
            </w:r>
          </w:p>
        </w:tc>
        <w:tc>
          <w:tcPr>
            <w:tcW w:w="4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200" w:type="dxa"/>
            <w:vAlign w:val="bottom"/>
          </w:tcPr>
          <w:p>
            <w:pPr>
              <w:spacing w:after="0"/>
              <w:rPr>
                <w:sz w:val="24"/>
                <w:szCs w:val="24"/>
                <w:color w:val="auto"/>
              </w:rPr>
            </w:pPr>
          </w:p>
        </w:tc>
        <w:tc>
          <w:tcPr>
            <w:tcW w:w="138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(18.5 %)</w:t>
            </w:r>
          </w:p>
        </w:tc>
        <w:tc>
          <w:tcPr>
            <w:tcW w:w="11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1.4 %</w:t>
            </w:r>
          </w:p>
        </w:tc>
        <w:tc>
          <w:tcPr>
            <w:tcW w:w="0" w:type="dxa"/>
            <w:vAlign w:val="bottom"/>
          </w:tcPr>
          <w:p>
            <w:pPr>
              <w:spacing w:after="0"/>
              <w:rPr>
                <w:sz w:val="1"/>
                <w:szCs w:val="1"/>
                <w:color w:val="auto"/>
              </w:rPr>
            </w:pPr>
          </w:p>
        </w:tc>
      </w:tr>
      <w:tr>
        <w:trPr>
          <w:trHeight w:val="337"/>
        </w:trPr>
        <w:tc>
          <w:tcPr>
            <w:tcW w:w="5220" w:type="dxa"/>
            <w:vAlign w:val="bottom"/>
          </w:tcPr>
          <w:p>
            <w:pPr>
              <w:spacing w:after="0"/>
              <w:rPr>
                <w:sz w:val="20"/>
                <w:szCs w:val="20"/>
                <w:color w:val="auto"/>
              </w:rPr>
            </w:pPr>
            <w:r>
              <w:rPr>
                <w:rFonts w:ascii="Times New Roman" w:cs="Times New Roman" w:eastAsia="Times New Roman" w:hAnsi="Times New Roman"/>
                <w:sz w:val="18"/>
                <w:szCs w:val="18"/>
                <w:color w:val="auto"/>
              </w:rPr>
              <w:t>* Averages for the quarters indicated. See sources below.</w:t>
            </w: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-1429385</wp:posOffset>
            </wp:positionV>
            <wp:extent cx="7132320" cy="15430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-1112520</wp:posOffset>
            </wp:positionV>
            <wp:extent cx="7132320" cy="15430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-804545</wp:posOffset>
            </wp:positionV>
            <wp:extent cx="7132320" cy="29083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32320" cy="29083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-358775</wp:posOffset>
            </wp:positionV>
            <wp:extent cx="7132320" cy="15430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4" w:lineRule="exact"/>
        <w:rPr>
          <w:sz w:val="20"/>
          <w:szCs w:val="20"/>
          <w:color w:val="auto"/>
        </w:rPr>
      </w:pPr>
    </w:p>
    <w:p>
      <w:pPr>
        <w:ind w:right="120"/>
        <w:spacing w:after="0" w:line="260" w:lineRule="auto"/>
        <w:rPr>
          <w:sz w:val="20"/>
          <w:szCs w:val="20"/>
          <w:color w:val="auto"/>
        </w:rPr>
      </w:pPr>
      <w:r>
        <w:rPr>
          <w:rFonts w:ascii="Times New Roman" w:cs="Times New Roman" w:eastAsia="Times New Roman" w:hAnsi="Times New Roman"/>
          <w:sz w:val="18"/>
          <w:szCs w:val="18"/>
          <w:color w:val="auto"/>
        </w:rPr>
        <w:t>The Company is also becoming increasingly engaged with energy transition related opportunities and is currently involved in projects related to wind energy, geothermal power, rare earth metal extraction, biogas production, and carbon sequestration. Additionally, the Company is investing in developing technologies and solutions that will support other energy transition related industry verticals. Management expects to see continued growth in these areas as low carbon power becomes a larger portion of the global energy supply.</w:t>
      </w:r>
    </w:p>
    <w:p>
      <w:pPr>
        <w:spacing w:after="0" w:line="182"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886" w:right="2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color w:val="auto"/>
        </w:rPr>
        <w:t>The following table details the U.S., Canadian, and international rig activity and West Texas Intermediate Crude Oil prices for the past nine quarters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2024, on a quarterly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818515</wp:posOffset>
            </wp:positionH>
            <wp:positionV relativeFrom="paragraph">
              <wp:posOffset>74295</wp:posOffset>
            </wp:positionV>
            <wp:extent cx="5514340" cy="375920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5514340" cy="3759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Source: Rig count: Baker Hughes, Inc. (www.bakerhughes.com); West Texas Intermediate Crude Oil and Natural Gas Prices: US Department of Energy, Energy Information Administration (www.eia.doe.gov).</w:t>
      </w:r>
    </w:p>
    <w:p>
      <w:pPr>
        <w:spacing w:after="0" w:line="16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worldwide quarterly average rig count increased 2 percent (from 1,695 to 1,727) in the third quarter of 2024 compared to the second quarter of 2024, mainly attributable to Canada. The average per barrel price of West Texas Intermediate Crude Oil decreased 7 percent (from $81.71 per barrel to $76.24 per barrel) and natural gas prices increased 1 percent (from $2.08 per mmbtu to $2.11 per mmbtu) in the third quarter of 2024 compared to the second quarter of 2024.</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On October 11, 2024, there were 809 rigs actively drilling in North America, comprised of U.S. and Canada, which increased 2 percent from the third quarter average of 795 rigs. The price for West Texas Intermediate Crude Oil was $75.56 per barrel at October 11, 2024, a decrease of 1 percent from the third quarter of 2024 average. The price for natural gas was $2.63 per mmbtu at October 11, 2024, an increase of 25 percent from the third quarter of 2024 average.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results by operating segment are as follows (in millions):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64"/>
        </w:trPr>
        <w:tc>
          <w:tcPr>
            <w:tcW w:w="5840" w:type="dxa"/>
            <w:vAlign w:val="bottom"/>
          </w:tcPr>
          <w:p>
            <w:pPr>
              <w:spacing w:after="0"/>
              <w:rPr>
                <w:sz w:val="14"/>
                <w:szCs w:val="14"/>
                <w:color w:val="auto"/>
              </w:rPr>
            </w:pPr>
          </w:p>
        </w:tc>
        <w:tc>
          <w:tcPr>
            <w:tcW w:w="2140" w:type="dxa"/>
            <w:vAlign w:val="bottom"/>
            <w:gridSpan w:val="4"/>
          </w:tcPr>
          <w:p>
            <w:pPr>
              <w:jc w:val="right"/>
              <w:ind w:right="1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34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84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42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840" w:type="dxa"/>
            <w:vAlign w:val="bottom"/>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4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2023</w:t>
            </w:r>
          </w:p>
        </w:tc>
        <w:tc>
          <w:tcPr>
            <w:tcW w:w="420" w:type="dxa"/>
            <w:vAlign w:val="bottom"/>
            <w:tcBorders>
              <w:bottom w:val="single" w:sz="8" w:color="auto"/>
            </w:tcBorders>
          </w:tcPr>
          <w:p>
            <w:pPr>
              <w:spacing w:after="0"/>
              <w:rPr>
                <w:sz w:val="14"/>
                <w:szCs w:val="14"/>
                <w:color w:val="auto"/>
              </w:rPr>
            </w:pPr>
          </w:p>
        </w:tc>
        <w:tc>
          <w:tcPr>
            <w:tcW w:w="2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w:t>
            </w:r>
          </w:p>
        </w:tc>
        <w:tc>
          <w:tcPr>
            <w:tcW w:w="74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4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80" w:type="dxa"/>
            <w:vAlign w:val="bottom"/>
            <w:shd w:val="clear" w:color="auto" w:fill="CFF0FC"/>
          </w:tcPr>
          <w:p>
            <w:pPr>
              <w:spacing w:after="0"/>
              <w:rPr>
                <w:sz w:val="20"/>
                <w:szCs w:val="20"/>
                <w:color w:val="auto"/>
              </w:rPr>
            </w:pPr>
          </w:p>
        </w:tc>
        <w:tc>
          <w:tcPr>
            <w:tcW w:w="7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1,003</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1,034</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3,070</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3,004</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1,219</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1,195</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3,601</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3,364</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(44 )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(109 )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(128 )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revenue</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2,191</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98"/>
              </w:rPr>
              <w:t>2,185</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6,562</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6,240</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27"/>
        </w:trPr>
        <w:tc>
          <w:tcPr>
            <w:tcW w:w="58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3"/>
        </w:trPr>
        <w:tc>
          <w:tcPr>
            <w:tcW w:w="58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40" w:type="dxa"/>
            <w:vAlign w:val="bottom"/>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0"/>
                <w:szCs w:val="20"/>
                <w:color w:val="auto"/>
              </w:rPr>
            </w:pPr>
          </w:p>
        </w:tc>
        <w:tc>
          <w:tcPr>
            <w:tcW w:w="720" w:type="dxa"/>
            <w:vAlign w:val="bottom"/>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4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20"/>
                <w:szCs w:val="20"/>
                <w:color w:val="auto"/>
              </w:rPr>
            </w:pP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r>
      <w:tr>
        <w:trPr>
          <w:trHeight w:val="247"/>
        </w:trPr>
        <w:tc>
          <w:tcPr>
            <w:tcW w:w="584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4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shd w:val="clear" w:color="auto" w:fill="CFF0FC"/>
          </w:tcPr>
          <w:p>
            <w:pPr>
              <w:spacing w:after="0"/>
              <w:rPr>
                <w:sz w:val="21"/>
                <w:szCs w:val="21"/>
                <w:color w:val="auto"/>
              </w:rPr>
            </w:pPr>
          </w:p>
        </w:tc>
        <w:tc>
          <w:tcPr>
            <w:tcW w:w="38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r>
      <w:tr>
        <w:trPr>
          <w:trHeight w:val="238"/>
        </w:trPr>
        <w:tc>
          <w:tcPr>
            <w:tcW w:w="584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40" w:type="dxa"/>
            <w:vAlign w:val="bottom"/>
          </w:tcPr>
          <w:p>
            <w:pPr>
              <w:spacing w:after="0"/>
              <w:rPr>
                <w:sz w:val="20"/>
                <w:szCs w:val="20"/>
                <w:color w:val="auto"/>
              </w:rPr>
            </w:pPr>
          </w:p>
        </w:tc>
        <w:tc>
          <w:tcPr>
            <w:tcW w:w="6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(49 )</w:t>
            </w:r>
          </w:p>
        </w:tc>
        <w:tc>
          <w:tcPr>
            <w:tcW w:w="720" w:type="dxa"/>
            <w:vAlign w:val="bottom"/>
          </w:tcPr>
          <w:p>
            <w:pPr>
              <w:spacing w:after="0"/>
              <w:rPr>
                <w:sz w:val="20"/>
                <w:szCs w:val="20"/>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(60 )</w:t>
            </w:r>
          </w:p>
        </w:tc>
        <w:tc>
          <w:tcPr>
            <w:tcW w:w="260" w:type="dxa"/>
            <w:vAlign w:val="bottom"/>
          </w:tcPr>
          <w:p>
            <w:pPr>
              <w:spacing w:after="0"/>
              <w:rPr>
                <w:sz w:val="20"/>
                <w:szCs w:val="20"/>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(150 )</w:t>
            </w:r>
          </w:p>
        </w:tc>
        <w:tc>
          <w:tcPr>
            <w:tcW w:w="380" w:type="dxa"/>
            <w:vAlign w:val="bottom"/>
          </w:tcPr>
          <w:p>
            <w:pPr>
              <w:spacing w:after="0"/>
              <w:rPr>
                <w:sz w:val="20"/>
                <w:szCs w:val="20"/>
                <w:color w:val="auto"/>
              </w:rPr>
            </w:pPr>
          </w:p>
        </w:tc>
        <w:tc>
          <w:tcPr>
            <w:tcW w:w="8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r>
      <w:tr>
        <w:trPr>
          <w:trHeight w:val="276"/>
        </w:trPr>
        <w:tc>
          <w:tcPr>
            <w:tcW w:w="584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740" w:type="dxa"/>
            <w:vAlign w:val="bottom"/>
            <w:tcBorders>
              <w:top w:val="single" w:sz="8" w:color="auto"/>
              <w:bottom w:val="single" w:sz="8" w:color="auto"/>
            </w:tcBorders>
            <w:shd w:val="clear" w:color="auto" w:fill="CFF0FC"/>
          </w:tcPr>
          <w:p>
            <w:pPr>
              <w:jc w:val="right"/>
              <w:ind w:right="556"/>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Borders>
              <w:bottom w:val="single" w:sz="8" w:color="CFF0FC"/>
            </w:tcBorders>
            <w:shd w:val="clear" w:color="auto" w:fill="CFF0FC"/>
          </w:tcPr>
          <w:p>
            <w:pPr>
              <w:spacing w:after="0"/>
              <w:rPr>
                <w:sz w:val="24"/>
                <w:szCs w:val="24"/>
                <w:color w:val="auto"/>
              </w:rPr>
            </w:pPr>
          </w:p>
        </w:tc>
        <w:tc>
          <w:tcPr>
            <w:tcW w:w="720" w:type="dxa"/>
            <w:vAlign w:val="bottom"/>
            <w:tcBorders>
              <w:top w:val="single" w:sz="8" w:color="auto"/>
              <w:bottom w:val="single" w:sz="8" w:color="auto"/>
            </w:tcBorders>
            <w:shd w:val="clear" w:color="auto" w:fill="CFF0FC"/>
          </w:tcPr>
          <w:p>
            <w:pPr>
              <w:jc w:val="right"/>
              <w:ind w:right="534"/>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bottom w:val="single" w:sz="8" w:color="CFF0FC"/>
            </w:tcBorders>
            <w:shd w:val="clear" w:color="auto" w:fill="CFF0FC"/>
          </w:tcPr>
          <w:p>
            <w:pPr>
              <w:spacing w:after="0"/>
              <w:rPr>
                <w:sz w:val="24"/>
                <w:szCs w:val="24"/>
                <w:color w:val="auto"/>
              </w:rPr>
            </w:pPr>
          </w:p>
        </w:tc>
        <w:tc>
          <w:tcPr>
            <w:tcW w:w="380" w:type="dxa"/>
            <w:vAlign w:val="bottom"/>
            <w:tcBorders>
              <w:top w:val="single" w:sz="8" w:color="auto"/>
              <w:bottom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4448810</wp:posOffset>
            </wp:positionH>
            <wp:positionV relativeFrom="paragraph">
              <wp:posOffset>-984250</wp:posOffset>
            </wp:positionV>
            <wp:extent cx="76835"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-967105</wp:posOffset>
            </wp:positionV>
            <wp:extent cx="76835"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-984250</wp:posOffset>
            </wp:positionV>
            <wp:extent cx="6858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-967105</wp:posOffset>
            </wp:positionV>
            <wp:extent cx="6858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-984250</wp:posOffset>
            </wp:positionV>
            <wp:extent cx="6858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-967105</wp:posOffset>
            </wp:positionV>
            <wp:extent cx="6858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-984250</wp:posOffset>
            </wp:positionV>
            <wp:extent cx="6858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-967105</wp:posOffset>
            </wp:positionV>
            <wp:extent cx="6858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-24765</wp:posOffset>
            </wp:positionV>
            <wp:extent cx="7683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4448810</wp:posOffset>
            </wp:positionH>
            <wp:positionV relativeFrom="paragraph">
              <wp:posOffset>-7620</wp:posOffset>
            </wp:positionV>
            <wp:extent cx="7683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-24765</wp:posOffset>
            </wp:positionV>
            <wp:extent cx="6858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-7620</wp:posOffset>
            </wp:positionV>
            <wp:extent cx="6858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-24765</wp:posOffset>
            </wp:positionV>
            <wp:extent cx="6858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6203950</wp:posOffset>
            </wp:positionH>
            <wp:positionV relativeFrom="paragraph">
              <wp:posOffset>-7620</wp:posOffset>
            </wp:positionV>
            <wp:extent cx="6858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 and Services</w:t>
      </w:r>
    </w:p>
    <w:p>
      <w:pPr>
        <w:spacing w:after="0" w:line="117"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Three and nine months ended September 30, 2024 and 2023. </w:t>
      </w:r>
      <w:r>
        <w:rPr>
          <w:rFonts w:ascii="Times New Roman" w:cs="Times New Roman" w:eastAsia="Times New Roman" w:hAnsi="Times New Roman"/>
          <w:sz w:val="18"/>
          <w:szCs w:val="18"/>
          <w:color w:val="auto"/>
        </w:rPr>
        <w:t>Revenue from Energy Products and Services was $1,003 million for the three months ended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September 30, 2024, compared to $1,034 million for the three months ended September 30, 2023, a decrease of $31 million or 3 percent. For the nine months ended September 30, 2024, revenue from Energy Products and Services was $3,070 million compared to $3,004 million for the nine months ended September 30, 2023, an increase of $66 million or 2 percent. The decrease in revenue during the three months ended September 30, 2024 was due to an increase in North America revenue of 1 percent offset by a decrease in international revenue of 5 percent. North American revenue increased despite the decline in drilling activity primarily due to the acquisition of our artificial lift business and market share gains, while international revenue declined primarily due to lower sales of drill pipe and conductor pipe connections. The increase in revenue during the nine months ended September 30, 2024 was due to increases in North America and international revenue of 4 percent and 2 percent, respectively. The growth in North America was primarily due to the acquisition of our artificial lift business and market share gains, and the growth in international revenue was primarily due to higher activity levels in international markets, partially offset by lower sales of drill pipe and conductor pipe connections.</w:t>
      </w:r>
    </w:p>
    <w:p>
      <w:pPr>
        <w:spacing w:after="0" w:line="8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Operating profit from Energy Products and Services was $114 million for the three months ended September 30, 2024, compared to an operating profit of $145 million for the three months ended September 30, 2023, a decrease of $31 million. For the nine months ended September 30, 2024, operating profit from Energy Products and Services was $363 million compared to operating profit of $413 million for the nine months ending September 30, 2023, a decrease of $50 million. The decrease in profitability was due to a less favorable sales mix, including a 35 percent decline in sales of drill pipe in the third quarter of 2024 and a 17 percent decline year-to-date when compared to the prior year.</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Equipment</w:t>
      </w:r>
    </w:p>
    <w:p>
      <w:pPr>
        <w:spacing w:after="0" w:line="11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Three and nine months ended September 30, 2024 and 2023. </w:t>
      </w:r>
      <w:r>
        <w:rPr>
          <w:rFonts w:ascii="Times New Roman" w:cs="Times New Roman" w:eastAsia="Times New Roman" w:hAnsi="Times New Roman"/>
          <w:sz w:val="18"/>
          <w:szCs w:val="18"/>
          <w:color w:val="auto"/>
        </w:rPr>
        <w:t>Revenue from Energy Equipment was $1,219 million for the three months ended September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30, 2024, compared to $1,195 million for the three months ended September 30, 2023, an increase of $24 million or 2 percent. For the nine months ended September 30, 2024, revenue from Energy Equipment was $3,601 million compared to $3,364 million for the nine months ended September 30, 2023, an increase of $237 million or 7 percent. The increase in revenue is attributable to higher sales in both international land and offshore markets. Revenue improved from international sales by 1 percent in the third quarter of 2024 and 11 percent year-to-date when compared to the prior year, and offshore sales increased by 3 percent in the third quarter of 2024 and by 14 percent year-to-date when compared to the prior year. The increase in sales to these markets is a result of strong demand for aftermarket products and services and execution on the segment’s improving capital equipment backlog. Revenues in North America increased 6 percent in the third quarter of 2024 on strong sales of capital equipment but declined 3 percent year-to-date when compared to the prior year, primarily due to the divestiture of the segment’s Pole Products business during the second quarter of 2024.</w:t>
      </w:r>
    </w:p>
    <w:p>
      <w:pPr>
        <w:spacing w:after="0" w:line="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Operating profit from Energy Equipment was $129 million for the three months ended September 30, 2024, compared to an operating profit of $98 million for the three months ended September 30, 2023, an increase of $31 million. For the nine months ended September 30, 2024, operating profit from Energy Equipment was $456 million compared to operating profit of $250 million for the nine months ended September 30, 2023, an increase of $206 million. Higher profitability for the three and nine months ended September 30, 2024 was the result of higher margin sales primarily driven by improved demand for aftermarket products and services and strong execution on the segment’s improving capital equipment backlog. A $131 million gain from the divestiture of the segment’s Pole Products business in the second quarter of 2024 also contributed to the increase in profitability for the nine months ended September 30, 2024.</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3" w:name="page24"/>
    <w:bookmarkEnd w:id="23"/>
    <w:p>
      <w:pPr>
        <w:jc w:val="both"/>
        <w:spacing w:after="0" w:line="255" w:lineRule="auto"/>
        <w:rPr>
          <w:sz w:val="20"/>
          <w:szCs w:val="20"/>
          <w:color w:val="auto"/>
        </w:rPr>
      </w:pPr>
      <w:r>
        <w:rPr>
          <w:rFonts w:ascii="Times New Roman" w:cs="Times New Roman" w:eastAsia="Times New Roman" w:hAnsi="Times New Roman"/>
          <w:sz w:val="18"/>
          <w:szCs w:val="18"/>
          <w:color w:val="auto"/>
        </w:rPr>
        <w:t>The Energy Equipment segment monitors its capital equipment backlog to plan its business. New orders are added to backlog only when the Company receives a firm written order for major completion and production components or a contract related to a construction project. The capital equipment backlog was $4,478 million at September 30, 2024, an increase of $485 million from backlog of $3,993 million at September 30, 2023. Although numerous factors can affect the timing of revenue out of backlog (including, but not limited to, customer change orders and supplier accelerations or delays), the Company reasonably expects approximately 13 percent of backlog to become revenue during the rest of 2024 and the remainder thereafter. At September 30, 2024, approximately 53 percent of the capital equipment backlog was for offshore products and approximately 91 percent of the capital equipment backlog was destined for international markets.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Eliminations and corporate costs</w:t>
      </w:r>
    </w:p>
    <w:p>
      <w:pPr>
        <w:spacing w:after="0" w:line="11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Eliminations and corporate costs were $49 million and $150 million for the three and nine months ended September 30, 2024, compared to $60 million and $173 million for the three and nine months ended September 30, 2023.</w:t>
      </w:r>
    </w:p>
    <w:p>
      <w:pPr>
        <w:spacing w:after="0" w:line="5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Sales from one segment to another generally are priced at estimated equivalent commercial selling prices; however, segments originating an external sale are credited with the full profit to the company. Eliminations include intercompany transactions conducted between the two reporting segments that are eliminated in consolidation. Intrasegment transactions are eliminated within each segment. Eliminations declined 20 percent when compared to the third quarter of 2023 and 14 percent year-to-date due to lower intrasegment activity.</w:t>
      </w:r>
    </w:p>
    <w:p>
      <w:pPr>
        <w:spacing w:after="0" w:line="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Corporate costs declined 15 percent from the third quarter of 2023 and 13 percent year-to-date due to our cost savings initiatives and workforce reductions.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and financial costs and Interest Income</w:t>
      </w:r>
    </w:p>
    <w:p>
      <w:pPr>
        <w:spacing w:after="0" w:line="119"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Interest and financial costs were $21 million and $67 million for the three and nine months ended September 30, 2024, compared to $23 million and $65 million for the three and nine months ended September 30, 2023. The changes were primarily due to fluctuations in debt balances between periods.</w:t>
      </w:r>
    </w:p>
    <w:p>
      <w:pPr>
        <w:spacing w:after="0" w:line="55"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Interest income was $11 million and $27 million for the three and nine months ended September 30, 2024, compared to $5 million and $21 million for the three and nine months ended September 30, 2023. The increase was primarily related to interest earned on larger cash balances in the current year compared to prior year.</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income in unconsolidated affiliates</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Equity income in unconsolidated affiliates was $0 million and $37 million for the three and nine months ended September 30, 2024, compared to $16 million and $101 million for the three and nine months ended September 30, 2023. A less favorable product sales mix and lower volume in sales led to lower profitability year-over-year for our largest investment in unconsolidated affiliates.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 expense, net</w:t>
      </w:r>
    </w:p>
    <w:p>
      <w:pPr>
        <w:spacing w:after="0" w:line="1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Other expense, net was $10 million and $34 million for the three and nine months ended September 30, 2024, compared to $25 million and $70 million for the three and nine months ended September 30, 2023, respectively. The change in expense was primarily due to larger foreign currency fluctuations in the prior year, particularly with the currency devaluation in Argentina.</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Provision for income taxes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effective tax rate for the three and nine months ended September 30, 2024 was 25.3% and 25.0%, respectively, compared to 30.8% and 18.2% for the same periods in 2023. The effective tax rate for 2024 was negatively impacted by a mix of earnings in higher tax rate jurisdictions, losses in certain jurisdictions with no tax benefit, and adjustments to the carrying value of deferred tax assets, partially offset by the reduction of valuation allowances related to U.S. and state deferred tax assets. The effective tax rate for 2023 was positively impacted by the utilization of previously unrealized loss carryforwards and tax credits as well as favorable adjustments related to changes in certain exchange rates, partially offset by current year losses in certain jurisdictions with no tax benefit.</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color w:val="auto"/>
        </w:rPr>
        <w:t>Non-GAAP Financial Measures and Reconciliations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Form 10-Q contains certain non-GAAP financial measures that management believes are useful tools for internal use and the investment community in evaluating NOV’s overall financial performance. These non-GAAP financial measures are broadly used to value and compare companies in the oilfield services and equipment industry. Not all companies define these measures in the same way. In addition, these non-GAAP financial measures are not a substitute for financial measures prepared in accordance with GAAP and should therefore be considered only as supplemental to such GAAP financial measures.</w:t>
      </w:r>
    </w:p>
    <w:p>
      <w:pPr>
        <w:spacing w:after="0" w:line="7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defines Adjusted EBITDA as operating profit excluding depreciation, amortization, gains and losses on sales of fixed assets and, when applicable, Other Items. Adjusted EBITDA % is a ratio showing Adjusted EBITDA as a percentage of sales. Management believes this is important information to provide because it is used by management to evaluate the Company’s operational performance and trends between periods and manage the business. Management also believes this information may be useful to investors and analysts to gain a better understanding of the Company’s results of ongoing operations. Adjusted EBITDA and Adjusted EBITDA % are not intended to replace GAAP financial measures, such as Net Income and Operating Profit %.</w:t>
      </w:r>
    </w:p>
    <w:p>
      <w:pPr>
        <w:spacing w:after="0" w:line="78"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Additionally, Excess Free Cash Flow does not represent the Company's residual cash flow available for discretionary expenditures, as the calculation of these measures does not account for certain debt service requirements or other non-discretionary expenditures.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04"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color w:val="auto"/>
        </w:rPr>
        <w:t>The following tables set forth the reconciliation of Adjusted EBITDA to its most comparable GAAP financial measure (in millions):</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4"/>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2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69"/>
        </w:trPr>
        <w:tc>
          <w:tcPr>
            <w:tcW w:w="5020" w:type="dxa"/>
            <w:vAlign w:val="bottom"/>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69"/>
        </w:trPr>
        <w:tc>
          <w:tcPr>
            <w:tcW w:w="5020" w:type="dxa"/>
            <w:vAlign w:val="bottom"/>
          </w:tcPr>
          <w:p>
            <w:pPr>
              <w:spacing w:after="0"/>
              <w:rPr>
                <w:sz w:val="14"/>
                <w:szCs w:val="14"/>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34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4"/>
                <w:szCs w:val="14"/>
                <w:b w:val="1"/>
                <w:bCs w:val="1"/>
                <w:color w:val="auto"/>
              </w:rPr>
              <w:t>2023</w:t>
            </w:r>
          </w:p>
        </w:tc>
        <w:tc>
          <w:tcPr>
            <w:tcW w:w="2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0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4"/>
                <w:szCs w:val="14"/>
                <w:b w:val="1"/>
                <w:bCs w:val="1"/>
                <w:color w:val="auto"/>
              </w:rPr>
              <w:t>2024</w:t>
            </w:r>
          </w:p>
        </w:tc>
        <w:tc>
          <w:tcPr>
            <w:tcW w:w="22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3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w:t>
            </w:r>
          </w:p>
        </w:tc>
        <w:tc>
          <w:tcPr>
            <w:tcW w:w="7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7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8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80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6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20" w:type="dxa"/>
            <w:vAlign w:val="bottom"/>
          </w:tcPr>
          <w:p>
            <w:pPr>
              <w:spacing w:after="0"/>
              <w:rPr>
                <w:sz w:val="20"/>
                <w:szCs w:val="20"/>
                <w:color w:val="auto"/>
              </w:rPr>
            </w:pP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(49 )</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(60 )</w:t>
            </w: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(150 )</w:t>
            </w:r>
          </w:p>
        </w:tc>
        <w:tc>
          <w:tcPr>
            <w:tcW w:w="3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(173 )</w:t>
            </w:r>
          </w:p>
        </w:tc>
        <w:tc>
          <w:tcPr>
            <w:tcW w:w="60" w:type="dxa"/>
            <w:vAlign w:val="bottom"/>
          </w:tcPr>
          <w:p>
            <w:pPr>
              <w:spacing w:after="0"/>
              <w:rPr>
                <w:sz w:val="20"/>
                <w:szCs w:val="20"/>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profit</w:t>
            </w:r>
          </w:p>
        </w:tc>
        <w:tc>
          <w:tcPr>
            <w:tcW w:w="720" w:type="dxa"/>
            <w:vAlign w:val="bottom"/>
            <w:tcBorders>
              <w:top w:val="single" w:sz="8" w:color="auto"/>
              <w:bottom w:val="single" w:sz="8" w:color="auto"/>
            </w:tcBorders>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194</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669</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490</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Operating profit %:</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11.4 %</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14.0 %</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12.2 %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11.8 %</w:t>
            </w:r>
          </w:p>
        </w:tc>
        <w:tc>
          <w:tcPr>
            <w:tcW w:w="3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13.7 %</w:t>
            </w: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10.6 %</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8.2 %</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12.7 %</w:t>
            </w:r>
          </w:p>
        </w:tc>
        <w:tc>
          <w:tcPr>
            <w:tcW w:w="3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7.4 %</w:t>
            </w: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1"/>
                <w:szCs w:val="2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profit %</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rPr>
              <w:t>8.9 %</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8.4 %</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14.1 %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10.2 %</w:t>
            </w:r>
          </w:p>
        </w:tc>
        <w:tc>
          <w:tcPr>
            <w:tcW w:w="3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7.9 %</w:t>
            </w:r>
          </w:p>
        </w:tc>
      </w:tr>
      <w:tr>
        <w:trPr>
          <w:trHeight w:val="20"/>
        </w:trPr>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(119 )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(122 )</w:t>
            </w: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(13 )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other items</w:t>
            </w:r>
          </w:p>
        </w:tc>
        <w:tc>
          <w:tcPr>
            <w:tcW w:w="72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(118 )</w:t>
            </w: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4"/>
                <w:szCs w:val="24"/>
                <w:color w:val="auto"/>
              </w:rPr>
            </w:pPr>
          </w:p>
        </w:tc>
      </w:tr>
      <w:tr>
        <w:trPr>
          <w:trHeight w:val="160"/>
        </w:trPr>
        <w:tc>
          <w:tcPr>
            <w:tcW w:w="50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(Gain)/loss on sales of fixed assets:</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(2 )</w:t>
            </w: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18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7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(gain)/loss on sales of fixed assets</w:t>
            </w:r>
          </w:p>
        </w:tc>
        <w:tc>
          <w:tcPr>
            <w:tcW w:w="720" w:type="dxa"/>
            <w:vAlign w:val="bottom"/>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FF0FC"/>
          </w:tcPr>
          <w:p>
            <w:pPr>
              <w:spacing w:after="0"/>
              <w:rPr>
                <w:sz w:val="24"/>
                <w:szCs w:val="24"/>
                <w:color w:val="auto"/>
              </w:rPr>
            </w:pPr>
          </w:p>
        </w:tc>
        <w:tc>
          <w:tcPr>
            <w:tcW w:w="24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24"/>
                <w:szCs w:val="24"/>
                <w:color w:val="auto"/>
              </w:rPr>
            </w:pPr>
          </w:p>
        </w:tc>
        <w:tc>
          <w:tcPr>
            <w:tcW w:w="340" w:type="dxa"/>
            <w:vAlign w:val="bottom"/>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4"/>
                <w:szCs w:val="24"/>
                <w:color w:val="auto"/>
              </w:rPr>
            </w:pPr>
          </w:p>
        </w:tc>
      </w:tr>
      <w:tr>
        <w:trPr>
          <w:trHeight w:val="160"/>
        </w:trPr>
        <w:tc>
          <w:tcPr>
            <w:tcW w:w="5020" w:type="dxa"/>
            <w:vAlign w:val="bottom"/>
            <w:tcBorders>
              <w:top w:val="single" w:sz="8" w:color="CFF0FC"/>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26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18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spacing w:after="0"/>
              <w:rPr>
                <w:sz w:val="13"/>
                <w:szCs w:val="13"/>
                <w:color w:val="auto"/>
              </w:rPr>
            </w:pPr>
          </w:p>
        </w:tc>
        <w:tc>
          <w:tcPr>
            <w:tcW w:w="200" w:type="dxa"/>
            <w:vAlign w:val="bottom"/>
            <w:tcBorders>
              <w:top w:val="single" w:sz="8" w:color="CFF0FC"/>
            </w:tcBorders>
          </w:tcPr>
          <w:p>
            <w:pPr>
              <w:spacing w:after="0"/>
              <w:rPr>
                <w:sz w:val="13"/>
                <w:szCs w:val="13"/>
                <w:color w:val="auto"/>
              </w:rPr>
            </w:pPr>
          </w:p>
        </w:tc>
        <w:tc>
          <w:tcPr>
            <w:tcW w:w="2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spacing w:after="0"/>
              <w:rPr>
                <w:sz w:val="13"/>
                <w:szCs w:val="13"/>
                <w:color w:val="auto"/>
              </w:rPr>
            </w:pPr>
          </w:p>
        </w:tc>
        <w:tc>
          <w:tcPr>
            <w:tcW w:w="220" w:type="dxa"/>
            <w:vAlign w:val="bottom"/>
            <w:tcBorders>
              <w:top w:val="single" w:sz="8" w:color="CFF0FC"/>
            </w:tcBorders>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spacing w:after="0"/>
              <w:rPr>
                <w:sz w:val="13"/>
                <w:szCs w:val="13"/>
                <w:color w:val="auto"/>
              </w:rPr>
            </w:pPr>
          </w:p>
        </w:tc>
        <w:tc>
          <w:tcPr>
            <w:tcW w:w="100" w:type="dxa"/>
            <w:vAlign w:val="bottom"/>
            <w:tcBorders>
              <w:top w:val="single" w:sz="8" w:color="CFF0FC"/>
            </w:tcBorders>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&amp; amortization:</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6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2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depreciation &amp; amortization</w:t>
            </w:r>
          </w:p>
        </w:tc>
        <w:tc>
          <w:tcPr>
            <w:tcW w:w="720" w:type="dxa"/>
            <w:vAlign w:val="bottom"/>
            <w:tcBorders>
              <w:bottom w:val="single" w:sz="8" w:color="auto"/>
            </w:tcBorders>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549</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124</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420</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Eliminations and corporate costs</w:t>
            </w:r>
          </w:p>
        </w:tc>
        <w:tc>
          <w:tcPr>
            <w:tcW w:w="720" w:type="dxa"/>
            <w:vAlign w:val="bottom"/>
          </w:tcPr>
          <w:p>
            <w:pPr>
              <w:spacing w:after="0"/>
              <w:rPr>
                <w:sz w:val="20"/>
                <w:szCs w:val="20"/>
                <w:color w:val="auto"/>
              </w:rPr>
            </w:pP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(45 )</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(54 )</w:t>
            </w: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(45 )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(142 )</w:t>
            </w:r>
          </w:p>
        </w:tc>
        <w:tc>
          <w:tcPr>
            <w:tcW w:w="3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(159 )</w:t>
            </w:r>
          </w:p>
        </w:tc>
        <w:tc>
          <w:tcPr>
            <w:tcW w:w="60" w:type="dxa"/>
            <w:vAlign w:val="bottom"/>
          </w:tcPr>
          <w:p>
            <w:pPr>
              <w:spacing w:after="0"/>
              <w:rPr>
                <w:sz w:val="20"/>
                <w:szCs w:val="20"/>
                <w:color w:val="auto"/>
              </w:rPr>
            </w:pPr>
          </w:p>
        </w:tc>
      </w:tr>
      <w:tr>
        <w:trPr>
          <w:trHeight w:val="276"/>
        </w:trPr>
        <w:tc>
          <w:tcPr>
            <w:tcW w:w="50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720" w:type="dxa"/>
            <w:vAlign w:val="bottom"/>
            <w:tcBorders>
              <w:top w:val="single" w:sz="8" w:color="auto"/>
              <w:bottom w:val="single" w:sz="8" w:color="auto"/>
            </w:tcBorders>
            <w:shd w:val="clear" w:color="auto" w:fill="CFF0FC"/>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bottom w:val="single" w:sz="8" w:color="CFF0FC"/>
            </w:tcBorders>
            <w:shd w:val="clear" w:color="auto" w:fill="CFF0FC"/>
          </w:tcPr>
          <w:p>
            <w:pPr>
              <w:spacing w:after="0"/>
              <w:rPr>
                <w:sz w:val="24"/>
                <w:szCs w:val="24"/>
                <w:color w:val="auto"/>
              </w:rPr>
            </w:pPr>
          </w:p>
        </w:tc>
        <w:tc>
          <w:tcPr>
            <w:tcW w:w="60" w:type="dxa"/>
            <w:vAlign w:val="bottom"/>
          </w:tcPr>
          <w:p>
            <w:pPr>
              <w:spacing w:after="0"/>
              <w:rPr>
                <w:sz w:val="24"/>
                <w:szCs w:val="24"/>
                <w:color w:val="auto"/>
              </w:rPr>
            </w:pPr>
          </w:p>
        </w:tc>
      </w:tr>
      <w:tr>
        <w:trPr>
          <w:trHeight w:val="227"/>
        </w:trPr>
        <w:tc>
          <w:tcPr>
            <w:tcW w:w="50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Adjusted EBITDA %:</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4"/>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Products and Services</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17.1 %</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19.1 %</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17.5 %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17.3 %</w:t>
            </w:r>
          </w:p>
        </w:tc>
        <w:tc>
          <w:tcPr>
            <w:tcW w:w="3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18.3 %</w:t>
            </w: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Energy Equipment</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13.0 %</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10.4 %</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11.8 %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11.7 %</w:t>
            </w:r>
          </w:p>
        </w:tc>
        <w:tc>
          <w:tcPr>
            <w:tcW w:w="3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9.4 %</w:t>
            </w:r>
          </w:p>
        </w:tc>
      </w:tr>
      <w:tr>
        <w:trPr>
          <w:trHeight w:val="250"/>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Corporate</w:t>
            </w:r>
          </w:p>
        </w:tc>
        <w:tc>
          <w:tcPr>
            <w:tcW w:w="720" w:type="dxa"/>
            <w:vAlign w:val="bottom"/>
            <w:tcBorders>
              <w:bottom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gridSpan w:val="2"/>
          </w:tcPr>
          <w:p>
            <w:pPr>
              <w:spacing w:after="0"/>
              <w:rPr>
                <w:sz w:val="21"/>
                <w:szCs w:val="21"/>
                <w:color w:val="auto"/>
              </w:rPr>
            </w:pPr>
          </w:p>
        </w:tc>
      </w:tr>
      <w:tr>
        <w:trPr>
          <w:trHeight w:val="238"/>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Adjusted EBITDA %</w:t>
            </w:r>
          </w:p>
        </w:tc>
        <w:tc>
          <w:tcPr>
            <w:tcW w:w="720" w:type="dxa"/>
            <w:vAlign w:val="bottom"/>
          </w:tcPr>
          <w:p>
            <w:pPr>
              <w:spacing w:after="0"/>
              <w:rPr>
                <w:sz w:val="20"/>
                <w:szCs w:val="20"/>
                <w:color w:val="auto"/>
              </w:rPr>
            </w:pPr>
          </w:p>
        </w:tc>
        <w:tc>
          <w:tcPr>
            <w:tcW w:w="60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97"/>
              </w:rPr>
              <w:t>13.1 %</w:t>
            </w:r>
          </w:p>
        </w:tc>
        <w:tc>
          <w:tcPr>
            <w:tcW w:w="340" w:type="dxa"/>
            <w:vAlign w:val="bottom"/>
          </w:tcPr>
          <w:p>
            <w:pPr>
              <w:spacing w:after="0"/>
              <w:rPr>
                <w:sz w:val="20"/>
                <w:szCs w:val="20"/>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12.2 %</w:t>
            </w:r>
          </w:p>
        </w:tc>
        <w:tc>
          <w:tcPr>
            <w:tcW w:w="18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12.7 %</w:t>
            </w:r>
          </w:p>
        </w:tc>
        <w:tc>
          <w:tcPr>
            <w:tcW w:w="240" w:type="dxa"/>
            <w:vAlign w:val="bottom"/>
          </w:tcPr>
          <w:p>
            <w:pPr>
              <w:spacing w:after="0"/>
              <w:rPr>
                <w:sz w:val="20"/>
                <w:szCs w:val="20"/>
                <w:color w:val="auto"/>
              </w:rPr>
            </w:pPr>
          </w:p>
        </w:tc>
        <w:tc>
          <w:tcPr>
            <w:tcW w:w="10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12.3 %</w:t>
            </w:r>
          </w:p>
        </w:tc>
        <w:tc>
          <w:tcPr>
            <w:tcW w:w="340" w:type="dxa"/>
            <w:vAlign w:val="bottom"/>
          </w:tcPr>
          <w:p>
            <w:pPr>
              <w:spacing w:after="0"/>
              <w:rPr>
                <w:sz w:val="20"/>
                <w:szCs w:val="20"/>
                <w:color w:val="auto"/>
              </w:rPr>
            </w:pPr>
          </w:p>
        </w:tc>
        <w:tc>
          <w:tcPr>
            <w:tcW w:w="84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11.3 %</w:t>
            </w:r>
          </w:p>
        </w:tc>
      </w:tr>
      <w:tr>
        <w:trPr>
          <w:trHeight w:val="20"/>
        </w:trPr>
        <w:tc>
          <w:tcPr>
            <w:tcW w:w="502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60"/>
        </w:trPr>
        <w:tc>
          <w:tcPr>
            <w:tcW w:w="50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43"/>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Reconciliation of Adjusted EBITDA:</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GAAP net income attributable to Company</w:t>
            </w:r>
          </w:p>
        </w:tc>
        <w:tc>
          <w:tcPr>
            <w:tcW w:w="720" w:type="dxa"/>
            <w:vAlign w:val="bottom"/>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26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w:t>
            </w:r>
          </w:p>
        </w:tc>
        <w:tc>
          <w:tcPr>
            <w:tcW w:w="220" w:type="dxa"/>
            <w:vAlign w:val="bottom"/>
          </w:tcPr>
          <w:p>
            <w:pPr>
              <w:spacing w:after="0"/>
              <w:rPr>
                <w:sz w:val="20"/>
                <w:szCs w:val="20"/>
                <w:color w:val="auto"/>
              </w:rPr>
            </w:pPr>
          </w:p>
        </w:tc>
        <w:tc>
          <w:tcPr>
            <w:tcW w:w="3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Noncontrolling interests</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(1 )</w:t>
            </w: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Interest expense</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200" w:type="dxa"/>
            <w:vAlign w:val="bottom"/>
            <w:shd w:val="clear" w:color="auto" w:fill="CFF0FC"/>
          </w:tcPr>
          <w:p>
            <w:pPr>
              <w:spacing w:after="0"/>
              <w:rPr>
                <w:sz w:val="21"/>
                <w:szCs w:val="21"/>
                <w:color w:val="auto"/>
              </w:rPr>
            </w:pPr>
          </w:p>
        </w:tc>
        <w:tc>
          <w:tcPr>
            <w:tcW w:w="240" w:type="dxa"/>
            <w:vAlign w:val="bottom"/>
            <w:shd w:val="clear" w:color="auto" w:fill="CFF0FC"/>
          </w:tcPr>
          <w:p>
            <w:pPr>
              <w:spacing w:after="0"/>
              <w:rPr>
                <w:sz w:val="21"/>
                <w:szCs w:val="21"/>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22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FF0FC"/>
          </w:tcPr>
          <w:p>
            <w:pPr>
              <w:spacing w:after="0"/>
              <w:rPr>
                <w:sz w:val="21"/>
                <w:szCs w:val="21"/>
                <w:color w:val="auto"/>
              </w:rPr>
            </w:pP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Interest income</w:t>
            </w:r>
          </w:p>
        </w:tc>
        <w:tc>
          <w:tcPr>
            <w:tcW w:w="720" w:type="dxa"/>
            <w:vAlign w:val="bottom"/>
          </w:tcPr>
          <w:p>
            <w:pPr>
              <w:spacing w:after="0"/>
              <w:rPr>
                <w:sz w:val="20"/>
                <w:szCs w:val="20"/>
                <w:color w:val="auto"/>
              </w:rPr>
            </w:pPr>
          </w:p>
        </w:tc>
        <w:tc>
          <w:tcPr>
            <w:tcW w:w="600" w:type="dxa"/>
            <w:vAlign w:val="bottom"/>
            <w:gridSpan w:val="2"/>
          </w:tcPr>
          <w:p>
            <w:pPr>
              <w:jc w:val="right"/>
              <w:ind w:right="108"/>
              <w:spacing w:after="0"/>
              <w:rPr>
                <w:sz w:val="20"/>
                <w:szCs w:val="20"/>
                <w:color w:val="auto"/>
              </w:rPr>
            </w:pPr>
            <w:r>
              <w:rPr>
                <w:rFonts w:ascii="Times New Roman" w:cs="Times New Roman" w:eastAsia="Times New Roman" w:hAnsi="Times New Roman"/>
                <w:sz w:val="18"/>
                <w:szCs w:val="18"/>
                <w:color w:val="auto"/>
              </w:rPr>
              <w:t>(11 )</w:t>
            </w:r>
          </w:p>
        </w:tc>
        <w:tc>
          <w:tcPr>
            <w:tcW w:w="340" w:type="dxa"/>
            <w:vAlign w:val="bottom"/>
          </w:tcPr>
          <w:p>
            <w:pPr>
              <w:spacing w:after="0"/>
              <w:rPr>
                <w:sz w:val="20"/>
                <w:szCs w:val="20"/>
                <w:color w:val="auto"/>
              </w:rPr>
            </w:pPr>
          </w:p>
        </w:tc>
        <w:tc>
          <w:tcPr>
            <w:tcW w:w="9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(5 )</w:t>
            </w:r>
          </w:p>
        </w:tc>
        <w:tc>
          <w:tcPr>
            <w:tcW w:w="18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tcPr>
          <w:p>
            <w:pPr>
              <w:spacing w:after="0"/>
              <w:rPr>
                <w:sz w:val="20"/>
                <w:szCs w:val="20"/>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(27 )</w:t>
            </w:r>
          </w:p>
        </w:tc>
        <w:tc>
          <w:tcPr>
            <w:tcW w:w="34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(21 )</w:t>
            </w: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Equity income in unconsolidated affiliates</w:t>
            </w:r>
          </w:p>
        </w:tc>
        <w:tc>
          <w:tcPr>
            <w:tcW w:w="720" w:type="dxa"/>
            <w:vAlign w:val="bottom"/>
            <w:shd w:val="clear" w:color="auto" w:fill="CFF0FC"/>
          </w:tcPr>
          <w:p>
            <w:pPr>
              <w:spacing w:after="0"/>
              <w:rPr>
                <w:sz w:val="21"/>
                <w:szCs w:val="21"/>
                <w:color w:val="auto"/>
              </w:rPr>
            </w:pPr>
          </w:p>
        </w:tc>
        <w:tc>
          <w:tcPr>
            <w:tcW w:w="600" w:type="dxa"/>
            <w:vAlign w:val="bottom"/>
            <w:gridSpan w:val="2"/>
            <w:shd w:val="clear" w:color="auto" w:fill="CFF0FC"/>
          </w:tcPr>
          <w:p>
            <w:pPr>
              <w:jc w:val="right"/>
              <w:ind w:right="188"/>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(16 )</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(8 )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(37 )</w:t>
            </w: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(101 )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Other expense, net</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7"/>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(Gain)/loss on sales of fixed assets</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1"/>
                <w:szCs w:val="21"/>
                <w:color w:val="auto"/>
              </w:rPr>
            </w:pPr>
          </w:p>
        </w:tc>
      </w:tr>
      <w:tr>
        <w:trPr>
          <w:trHeight w:val="238"/>
        </w:trPr>
        <w:tc>
          <w:tcPr>
            <w:tcW w:w="50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spacing w:after="0"/>
              <w:rPr>
                <w:sz w:val="20"/>
                <w:szCs w:val="20"/>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243"/>
        </w:trPr>
        <w:tc>
          <w:tcPr>
            <w:tcW w:w="5020" w:type="dxa"/>
            <w:vAlign w:val="bottom"/>
            <w:shd w:val="clear" w:color="auto" w:fill="CFF0FC"/>
          </w:tcPr>
          <w:p>
            <w:pPr>
              <w:ind w:left="200"/>
              <w:spacing w:after="0"/>
              <w:rPr>
                <w:sz w:val="20"/>
                <w:szCs w:val="20"/>
                <w:color w:val="auto"/>
              </w:rPr>
            </w:pPr>
            <w:r>
              <w:rPr>
                <w:rFonts w:ascii="Times New Roman" w:cs="Times New Roman" w:eastAsia="Times New Roman" w:hAnsi="Times New Roman"/>
                <w:sz w:val="18"/>
                <w:szCs w:val="18"/>
                <w:color w:val="auto"/>
              </w:rPr>
              <w:t>Other items, net</w:t>
            </w:r>
          </w:p>
        </w:tc>
        <w:tc>
          <w:tcPr>
            <w:tcW w:w="720" w:type="dxa"/>
            <w:vAlign w:val="bottom"/>
            <w:shd w:val="clear" w:color="auto" w:fill="CFF0FC"/>
          </w:tcPr>
          <w:p>
            <w:pPr>
              <w:spacing w:after="0"/>
              <w:rPr>
                <w:sz w:val="21"/>
                <w:szCs w:val="21"/>
                <w:color w:val="auto"/>
              </w:rPr>
            </w:pPr>
          </w:p>
        </w:tc>
        <w:tc>
          <w:tcPr>
            <w:tcW w:w="3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(118 )</w:t>
            </w:r>
          </w:p>
        </w:tc>
        <w:tc>
          <w:tcPr>
            <w:tcW w:w="240" w:type="dxa"/>
            <w:vAlign w:val="bottom"/>
            <w:shd w:val="clear" w:color="auto" w:fill="CFF0FC"/>
          </w:tcPr>
          <w:p>
            <w:pPr>
              <w:spacing w:after="0"/>
              <w:rPr>
                <w:sz w:val="21"/>
                <w:szCs w:val="21"/>
                <w:color w:val="auto"/>
              </w:rPr>
            </w:pPr>
          </w:p>
        </w:tc>
        <w:tc>
          <w:tcPr>
            <w:tcW w:w="10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(116 )</w:t>
            </w:r>
          </w:p>
        </w:tc>
        <w:tc>
          <w:tcPr>
            <w:tcW w:w="340" w:type="dxa"/>
            <w:vAlign w:val="bottom"/>
            <w:shd w:val="clear" w:color="auto" w:fill="CFF0FC"/>
          </w:tcPr>
          <w:p>
            <w:pPr>
              <w:spacing w:after="0"/>
              <w:rPr>
                <w:sz w:val="21"/>
                <w:szCs w:val="21"/>
                <w:color w:val="auto"/>
              </w:rPr>
            </w:pPr>
          </w:p>
        </w:tc>
        <w:tc>
          <w:tcPr>
            <w:tcW w:w="78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(4 )</w:t>
            </w:r>
          </w:p>
        </w:tc>
        <w:tc>
          <w:tcPr>
            <w:tcW w:w="60" w:type="dxa"/>
            <w:vAlign w:val="bottom"/>
          </w:tcPr>
          <w:p>
            <w:pPr>
              <w:spacing w:after="0"/>
              <w:rPr>
                <w:sz w:val="21"/>
                <w:szCs w:val="21"/>
                <w:color w:val="auto"/>
              </w:rPr>
            </w:pPr>
          </w:p>
        </w:tc>
      </w:tr>
      <w:tr>
        <w:trPr>
          <w:trHeight w:val="236"/>
        </w:trPr>
        <w:tc>
          <w:tcPr>
            <w:tcW w:w="5020" w:type="dxa"/>
            <w:vAlign w:val="bottom"/>
            <w:tcBorders>
              <w:top w:val="single" w:sz="8" w:color="CFF0FC"/>
            </w:tcBorders>
          </w:tcPr>
          <w:p>
            <w:pPr>
              <w:ind w:left="20"/>
              <w:spacing w:after="0"/>
              <w:rPr>
                <w:sz w:val="20"/>
                <w:szCs w:val="20"/>
                <w:color w:val="auto"/>
              </w:rPr>
            </w:pPr>
            <w:r>
              <w:rPr>
                <w:rFonts w:ascii="Times New Roman" w:cs="Times New Roman" w:eastAsia="Times New Roman" w:hAnsi="Times New Roman"/>
                <w:sz w:val="18"/>
                <w:szCs w:val="18"/>
                <w:color w:val="auto"/>
              </w:rPr>
              <w:t>Total Adjusted EBITDA</w:t>
            </w:r>
          </w:p>
        </w:tc>
        <w:tc>
          <w:tcPr>
            <w:tcW w:w="720" w:type="dxa"/>
            <w:vAlign w:val="bottom"/>
            <w:tcBorders>
              <w:top w:val="single" w:sz="8" w:color="auto"/>
              <w:bottom w:val="single" w:sz="8" w:color="auto"/>
            </w:tcBorders>
          </w:tcPr>
          <w:p>
            <w:pPr>
              <w:jc w:val="right"/>
              <w:ind w:right="531"/>
              <w:spacing w:after="0"/>
              <w:rPr>
                <w:sz w:val="20"/>
                <w:szCs w:val="20"/>
                <w:color w:val="auto"/>
              </w:rPr>
            </w:pPr>
            <w:r>
              <w:rPr>
                <w:rFonts w:ascii="Times New Roman" w:cs="Times New Roman" w:eastAsia="Times New Roman" w:hAnsi="Times New Roman"/>
                <w:sz w:val="18"/>
                <w:szCs w:val="18"/>
                <w:color w:val="auto"/>
                <w:w w:val="88"/>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26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w:t>
            </w:r>
          </w:p>
        </w:tc>
        <w:tc>
          <w:tcPr>
            <w:tcW w:w="220" w:type="dxa"/>
            <w:vAlign w:val="bottom"/>
            <w:tcBorders>
              <w:top w:val="single" w:sz="8" w:color="CFF0FC"/>
            </w:tcBorders>
          </w:tcPr>
          <w:p>
            <w:pPr>
              <w:spacing w:after="0"/>
              <w:rPr>
                <w:sz w:val="20"/>
                <w:szCs w:val="20"/>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w:t>
            </w:r>
          </w:p>
        </w:tc>
        <w:tc>
          <w:tcPr>
            <w:tcW w:w="200" w:type="dxa"/>
            <w:vAlign w:val="bottom"/>
            <w:tcBorders>
              <w:top w:val="single" w:sz="8" w:color="CFF0FC"/>
            </w:tcBorders>
          </w:tcPr>
          <w:p>
            <w:pPr>
              <w:spacing w:after="0"/>
              <w:rPr>
                <w:sz w:val="20"/>
                <w:szCs w:val="20"/>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808</w:t>
            </w:r>
          </w:p>
        </w:tc>
        <w:tc>
          <w:tcPr>
            <w:tcW w:w="220" w:type="dxa"/>
            <w:vAlign w:val="bottom"/>
            <w:tcBorders>
              <w:top w:val="single" w:sz="8" w:color="CFF0FC"/>
            </w:tcBorders>
          </w:tcPr>
          <w:p>
            <w:pPr>
              <w:spacing w:after="0"/>
              <w:rPr>
                <w:sz w:val="20"/>
                <w:szCs w:val="20"/>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w:t>
            </w:r>
          </w:p>
        </w:tc>
        <w:tc>
          <w:tcPr>
            <w:tcW w:w="100" w:type="dxa"/>
            <w:vAlign w:val="bottom"/>
            <w:tcBorders>
              <w:top w:val="single" w:sz="8" w:color="CFF0FC"/>
            </w:tcBorders>
          </w:tcPr>
          <w:p>
            <w:pPr>
              <w:spacing w:after="0"/>
              <w:rPr>
                <w:sz w:val="20"/>
                <w:szCs w:val="20"/>
                <w:color w:val="auto"/>
              </w:rPr>
            </w:pPr>
          </w:p>
        </w:tc>
        <w:tc>
          <w:tcPr>
            <w:tcW w:w="60" w:type="dxa"/>
            <w:vAlign w:val="bottom"/>
          </w:tcPr>
          <w:p>
            <w:pPr>
              <w:spacing w:after="0"/>
              <w:rPr>
                <w:sz w:val="20"/>
                <w:szCs w:val="20"/>
                <w:color w:val="auto"/>
              </w:rPr>
            </w:pPr>
          </w:p>
        </w:tc>
      </w:tr>
      <w:tr>
        <w:trPr>
          <w:trHeight w:val="20"/>
        </w:trPr>
        <w:tc>
          <w:tcPr>
            <w:tcW w:w="50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632"/>
        </w:trPr>
        <w:tc>
          <w:tcPr>
            <w:tcW w:w="50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-7526020</wp:posOffset>
            </wp:positionV>
            <wp:extent cx="7132320" cy="15430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-2901950</wp:posOffset>
            </wp:positionV>
            <wp:extent cx="7132320" cy="15430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-7971155</wp:posOffset>
            </wp:positionV>
            <wp:extent cx="76835"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-7954010</wp:posOffset>
            </wp:positionV>
            <wp:extent cx="76835"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-7971155</wp:posOffset>
            </wp:positionV>
            <wp:extent cx="6858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-7954010</wp:posOffset>
            </wp:positionV>
            <wp:extent cx="6858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-7971155</wp:posOffset>
            </wp:positionV>
            <wp:extent cx="6858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-7954010</wp:posOffset>
            </wp:positionV>
            <wp:extent cx="6858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-7971155</wp:posOffset>
            </wp:positionV>
            <wp:extent cx="6858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-7954010</wp:posOffset>
            </wp:positionV>
            <wp:extent cx="6858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-7971155</wp:posOffset>
            </wp:positionV>
            <wp:extent cx="6858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-7954010</wp:posOffset>
            </wp:positionV>
            <wp:extent cx="6858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-7209155</wp:posOffset>
            </wp:positionV>
            <wp:extent cx="7132320" cy="17970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-6138545</wp:posOffset>
            </wp:positionV>
            <wp:extent cx="76835"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-6121400</wp:posOffset>
            </wp:positionV>
            <wp:extent cx="7683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-6138545</wp:posOffset>
            </wp:positionV>
            <wp:extent cx="6858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-6121400</wp:posOffset>
            </wp:positionV>
            <wp:extent cx="6858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-6138545</wp:posOffset>
            </wp:positionV>
            <wp:extent cx="6858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-6121400</wp:posOffset>
            </wp:positionV>
            <wp:extent cx="6858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-6138545</wp:posOffset>
            </wp:positionV>
            <wp:extent cx="6858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-6121400</wp:posOffset>
            </wp:positionV>
            <wp:extent cx="6858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-6138545</wp:posOffset>
            </wp:positionV>
            <wp:extent cx="6858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-6121400</wp:posOffset>
            </wp:positionV>
            <wp:extent cx="6858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-5222240</wp:posOffset>
            </wp:positionV>
            <wp:extent cx="76835"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-5205095</wp:posOffset>
            </wp:positionV>
            <wp:extent cx="76835"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-5222240</wp:posOffset>
            </wp:positionV>
            <wp:extent cx="6858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-5205095</wp:posOffset>
            </wp:positionV>
            <wp:extent cx="685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-5222240</wp:posOffset>
            </wp:positionV>
            <wp:extent cx="6858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-5205095</wp:posOffset>
            </wp:positionV>
            <wp:extent cx="6858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-5222240</wp:posOffset>
            </wp:positionV>
            <wp:extent cx="6858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-5205095</wp:posOffset>
            </wp:positionV>
            <wp:extent cx="6858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-5222240</wp:posOffset>
            </wp:positionV>
            <wp:extent cx="6858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-5205095</wp:posOffset>
            </wp:positionV>
            <wp:extent cx="6858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-4306570</wp:posOffset>
            </wp:positionV>
            <wp:extent cx="7683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-4289425</wp:posOffset>
            </wp:positionV>
            <wp:extent cx="7683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-4306570</wp:posOffset>
            </wp:positionV>
            <wp:extent cx="6858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-4289425</wp:posOffset>
            </wp:positionV>
            <wp:extent cx="6858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-4306570</wp:posOffset>
            </wp:positionV>
            <wp:extent cx="6858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-4289425</wp:posOffset>
            </wp:positionV>
            <wp:extent cx="6858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-4306570</wp:posOffset>
            </wp:positionV>
            <wp:extent cx="6858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-4289425</wp:posOffset>
            </wp:positionV>
            <wp:extent cx="6858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-4306570</wp:posOffset>
            </wp:positionV>
            <wp:extent cx="6858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-4289425</wp:posOffset>
            </wp:positionV>
            <wp:extent cx="685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-3390265</wp:posOffset>
            </wp:positionV>
            <wp:extent cx="7683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-3373120</wp:posOffset>
            </wp:positionV>
            <wp:extent cx="7683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-3390265</wp:posOffset>
            </wp:positionV>
            <wp:extent cx="6858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-3373120</wp:posOffset>
            </wp:positionV>
            <wp:extent cx="6858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-3390265</wp:posOffset>
            </wp:positionV>
            <wp:extent cx="6858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-3373120</wp:posOffset>
            </wp:positionV>
            <wp:extent cx="6858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-3390265</wp:posOffset>
            </wp:positionV>
            <wp:extent cx="6858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-3373120</wp:posOffset>
            </wp:positionV>
            <wp:extent cx="6858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-3390265</wp:posOffset>
            </wp:positionV>
            <wp:extent cx="6858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-3373120</wp:posOffset>
            </wp:positionV>
            <wp:extent cx="6858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-2585085</wp:posOffset>
            </wp:positionV>
            <wp:extent cx="7132320" cy="17970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3866515</wp:posOffset>
            </wp:positionH>
            <wp:positionV relativeFrom="paragraph">
              <wp:posOffset>-598805</wp:posOffset>
            </wp:positionV>
            <wp:extent cx="76835"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4697095</wp:posOffset>
            </wp:positionH>
            <wp:positionV relativeFrom="paragraph">
              <wp:posOffset>-598805</wp:posOffset>
            </wp:positionV>
            <wp:extent cx="6858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-598805</wp:posOffset>
            </wp:positionV>
            <wp:extent cx="6858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6289675</wp:posOffset>
            </wp:positionH>
            <wp:positionV relativeFrom="paragraph">
              <wp:posOffset>-598805</wp:posOffset>
            </wp:positionV>
            <wp:extent cx="6858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-598805</wp:posOffset>
            </wp:positionV>
            <wp:extent cx="6858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466725</wp:posOffset>
            </wp:positionV>
            <wp:extent cx="7157720" cy="425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890" w:right="279" w:bottom="695"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Overview</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At September 30, 2024, the Company had cash and cash equivalents of $985 million and total debt of $1,749 million. At December 31, 2023, cash and cash equivalents were $816 million and total debt was $1,725 million. As of September 30, 2024, approximately $534 million of the $985 million of cash and cash equivalents was held by our foreign subsidiaries and the earnings associated with this cash could be subject to foreign withholding taxes and incremental U.S. taxation if transferred among countries or repatriated to the U.S. If opportunities to invest in the U.S. are greater than available cash balances that are not subject to income tax, rather than repatriating cash, the Company may choose to borrow against its revolving credit facility.</w:t>
      </w:r>
    </w:p>
    <w:p>
      <w:pPr>
        <w:spacing w:after="0" w:line="7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12, 2024, the Company entered into a new $1.5 billion five-year unsecured revolving credit facility. This new credit facility replaced the Company's previous $2.0 billion revolving credit facility. The Company has the right to increase the aggregate commitments under this new agreement to an aggregate amount of up to $2.5 billion upon the consent of only those lenders holding any such increase. Interest under the multicurrency facility is based upon Secured Overnight Financing Rate (SOFR), Euro Interbank Offered Rate (EURIBOR), Sterling Overnight Index Average (SONIA), Canadian Overnight Repo Rate Average (CORRA), or Norwegian Interbank Offered Rate (NIBOR), plus 1.25% subject to a ratings-based grid or the U.S. prime rate. The new credit facility contains a financial covenant establishing a maximum debt-to-capitalization ratio of 60%. As of September 30, 2024, the Company was in compliance with a debt-to-capitalization ratio of 23.4% and had no borrowings or letters of credits issued under the facility, resulting in $1.5 billion of available funds.</w:t>
      </w:r>
    </w:p>
    <w:p>
      <w:pPr>
        <w:spacing w:after="0" w:line="8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Additionally, a consolidated joint venture of the Company borrowed $120 million against a $150 million bank line of credit for the construction of a facility in Saudi Arabia. Interest under the bank line of credit is based upon SOFR plus 1.40%. The bank line of credit contains a financial covenant regarding maximum debt-to-equity ratio of 75%. As of September 30, 2024, the joint venture was in compliance. The facility construction was completed in the fourth quarter of 2022, and the joint venture will not have future borrowings on the line of credit. The line of credit repayment schedule began in December 2022 with final payment no later than June 2032. As of September 30, 2024, the Company had $99 million in borrowings related to this line of credit. The Company has $11 million in payments related to this line of credit due in the next twelve months.</w:t>
      </w:r>
    </w:p>
    <w:p>
      <w:pPr>
        <w:spacing w:after="0" w:line="78"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Company’s outstanding debt at September 30, 2024 consisted of $1,091 million in 3.95% Senior Notes, $496 million in 3.60% Senior Notes, and other debt of $162 million. The Company was in compliance with all covenants at September 30, 2024. Long-term lease liabilities totaled $551 million at September 30, 2024.</w:t>
      </w:r>
    </w:p>
    <w:p>
      <w:pPr>
        <w:spacing w:after="0" w:line="69"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 Company had $472 million of outstanding letters of credit at September 30, 2024, primarily in Norway and the United States, that are under various bilateral letter of credit facilities. Letters of credit are issued as bid bonds, advanced payment bonds and performance bonds.</w:t>
      </w:r>
    </w:p>
    <w:p>
      <w:pPr>
        <w:spacing w:after="0" w:line="55" w:lineRule="exact"/>
        <w:rPr>
          <w:sz w:val="20"/>
          <w:szCs w:val="20"/>
          <w:color w:val="auto"/>
        </w:rPr>
      </w:pPr>
    </w:p>
    <w:p>
      <w:pPr>
        <w:jc w:val="both"/>
        <w:spacing w:after="0" w:line="281" w:lineRule="auto"/>
        <w:rPr>
          <w:sz w:val="20"/>
          <w:szCs w:val="20"/>
          <w:color w:val="auto"/>
        </w:rPr>
      </w:pPr>
      <w:r>
        <w:rPr>
          <w:rFonts w:ascii="Times New Roman" w:cs="Times New Roman" w:eastAsia="Times New Roman" w:hAnsi="Times New Roman"/>
          <w:sz w:val="18"/>
          <w:szCs w:val="18"/>
          <w:color w:val="auto"/>
        </w:rPr>
        <w:t>The following table summarizes our net cash provided by (used in) continuing operating activities, continuing investing activities and continuing financing activities for the periods presented (in millions):</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77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4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77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20" w:type="dxa"/>
            <w:vAlign w:val="bottom"/>
          </w:tcPr>
          <w:p>
            <w:pPr>
              <w:spacing w:after="0"/>
              <w:rPr>
                <w:sz w:val="14"/>
                <w:szCs w:val="14"/>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4"/>
                <w:szCs w:val="14"/>
                <w:color w:val="auto"/>
              </w:rPr>
            </w:pPr>
          </w:p>
        </w:tc>
      </w:tr>
      <w:tr>
        <w:trPr>
          <w:trHeight w:val="236"/>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000" w:type="dxa"/>
            <w:vAlign w:val="bottom"/>
            <w:shd w:val="clear" w:color="auto" w:fill="CFF0FC"/>
          </w:tcPr>
          <w:p>
            <w:pPr>
              <w:jc w:val="right"/>
              <w:ind w:right="819"/>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713</w:t>
            </w:r>
          </w:p>
        </w:tc>
        <w:tc>
          <w:tcPr>
            <w:tcW w:w="320" w:type="dxa"/>
            <w:vAlign w:val="bottom"/>
            <w:shd w:val="clear" w:color="auto" w:fill="CFF0FC"/>
          </w:tcPr>
          <w:p>
            <w:pPr>
              <w:spacing w:after="0"/>
              <w:rPr>
                <w:sz w:val="20"/>
                <w:szCs w:val="20"/>
                <w:color w:val="auto"/>
              </w:rPr>
            </w:pPr>
          </w:p>
        </w:tc>
        <w:tc>
          <w:tcPr>
            <w:tcW w:w="540" w:type="dxa"/>
            <w:vAlign w:val="bottom"/>
            <w:shd w:val="clear" w:color="auto" w:fill="CFF0FC"/>
          </w:tcPr>
          <w:p>
            <w:pPr>
              <w:jc w:val="right"/>
              <w:ind w:right="33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(234 )</w:t>
            </w:r>
          </w:p>
        </w:tc>
      </w:tr>
      <w:tr>
        <w:trPr>
          <w:trHeight w:val="238"/>
        </w:trPr>
        <w:tc>
          <w:tcPr>
            <w:tcW w:w="77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1000" w:type="dxa"/>
            <w:vAlign w:val="bottom"/>
          </w:tcPr>
          <w:p>
            <w:pPr>
              <w:spacing w:after="0"/>
              <w:rPr>
                <w:sz w:val="20"/>
                <w:szCs w:val="20"/>
                <w:color w:val="auto"/>
              </w:rPr>
            </w:pPr>
          </w:p>
        </w:tc>
        <w:tc>
          <w:tcPr>
            <w:tcW w:w="8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(308 )</w:t>
            </w:r>
          </w:p>
        </w:tc>
        <w:tc>
          <w:tcPr>
            <w:tcW w:w="540" w:type="dxa"/>
            <w:vAlign w:val="bottom"/>
          </w:tcPr>
          <w:p>
            <w:pPr>
              <w:spacing w:after="0"/>
              <w:rPr>
                <w:sz w:val="20"/>
                <w:szCs w:val="20"/>
                <w:color w:val="auto"/>
              </w:rPr>
            </w:pPr>
          </w:p>
        </w:tc>
        <w:tc>
          <w:tcPr>
            <w:tcW w:w="11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(211 )</w:t>
            </w:r>
          </w:p>
        </w:tc>
      </w:tr>
      <w:tr>
        <w:trPr>
          <w:trHeight w:val="247"/>
        </w:trPr>
        <w:tc>
          <w:tcPr>
            <w:tcW w:w="77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00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(235 )</w:t>
            </w:r>
          </w:p>
        </w:tc>
        <w:tc>
          <w:tcPr>
            <w:tcW w:w="540" w:type="dxa"/>
            <w:vAlign w:val="bottom"/>
            <w:shd w:val="clear" w:color="auto" w:fill="CFF0FC"/>
          </w:tcPr>
          <w:p>
            <w:pPr>
              <w:spacing w:after="0"/>
              <w:rPr>
                <w:sz w:val="21"/>
                <w:szCs w:val="21"/>
                <w:color w:val="auto"/>
              </w:rPr>
            </w:pPr>
          </w:p>
        </w:tc>
        <w:tc>
          <w:tcPr>
            <w:tcW w:w="11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(106 )</w:t>
            </w:r>
          </w:p>
        </w:tc>
      </w:tr>
    </w:tbl>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Significant uses of cash during the first nine months of 2024</w:t>
      </w:r>
    </w:p>
    <w:p>
      <w:pPr>
        <w:spacing w:after="0" w:line="119" w:lineRule="exact"/>
        <w:rPr>
          <w:sz w:val="20"/>
          <w:szCs w:val="20"/>
          <w:color w:val="auto"/>
        </w:rPr>
      </w:pPr>
    </w:p>
    <w:p>
      <w:pPr>
        <w:ind w:left="760" w:hanging="378"/>
        <w:spacing w:after="0" w:line="281" w:lineRule="auto"/>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flows provided by operating activities were $713 million, primarily driven by higher levels of profitability and changes in the primary components of our working capital (receivables, inventories, accounts payable, and accrued liabilities).</w:t>
      </w:r>
    </w:p>
    <w:p>
      <w:pPr>
        <w:spacing w:after="0" w:line="54"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 expenditures were $233 million.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acquisitions, net of cash, were $252 million.</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of $79 million in dividends to our shareholders.</w:t>
      </w:r>
    </w:p>
    <w:p>
      <w:pPr>
        <w:spacing w:after="0" w:line="116"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repurchases were $117 million.</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Other</w:t>
      </w:r>
    </w:p>
    <w:p>
      <w:pPr>
        <w:spacing w:after="0" w:line="119"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The effect of the change in exchange rates on cash flows was a decrease of $1 million for the first nine months of 2024, and a decrease of $5 million for the first nine months of 2023.</w:t>
      </w:r>
    </w:p>
    <w:p>
      <w:pPr>
        <w:spacing w:after="0" w:line="5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believe that cash on hand, cash generated from operations and amounts available under our credit facilities and from other sources of debt will be sufficient to fund operations, lease payments, working capital needs, capital expenditure requirements, dividends and financing obligations.</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7" w:name="page28"/>
    <w:bookmarkEnd w:id="27"/>
    <w:p>
      <w:pPr>
        <w:jc w:val="both"/>
        <w:spacing w:after="0" w:line="258" w:lineRule="auto"/>
        <w:rPr>
          <w:sz w:val="20"/>
          <w:szCs w:val="20"/>
          <w:color w:val="auto"/>
        </w:rPr>
      </w:pPr>
      <w:r>
        <w:rPr>
          <w:rFonts w:ascii="Times New Roman" w:cs="Times New Roman" w:eastAsia="Times New Roman" w:hAnsi="Times New Roman"/>
          <w:sz w:val="18"/>
          <w:szCs w:val="18"/>
          <w:color w:val="auto"/>
        </w:rPr>
        <w:t>During the three months ended September 30, 2024, the Company repurchased 4.6 million shares of common stock under its stock program for an aggregate amount of $80 million. During the nine months ended September 30, 2024, the Company repurchased 6.6 million shares of common stock under the program for an aggregate amount of $117 million. The Company expects to return at least 50% of Excess Free Cash Flow (defined as cash flow from operations less capital expenditures and other investments, including acquisitions), through a combination of steady, quarterly base dividends, opportunistic stock buybacks, and an annual supplemental dividend to true-up returns to shareholders on an annual basis.</w:t>
      </w:r>
    </w:p>
    <w:p>
      <w:pPr>
        <w:spacing w:after="0" w:line="74" w:lineRule="exact"/>
        <w:rPr>
          <w:sz w:val="20"/>
          <w:szCs w:val="20"/>
          <w:color w:val="auto"/>
        </w:rPr>
      </w:pPr>
    </w:p>
    <w:p>
      <w:pPr>
        <w:jc w:val="both"/>
        <w:ind w:right="20"/>
        <w:spacing w:after="0" w:line="260" w:lineRule="auto"/>
        <w:rPr>
          <w:sz w:val="20"/>
          <w:szCs w:val="20"/>
          <w:color w:val="auto"/>
        </w:rPr>
      </w:pPr>
      <w:r>
        <w:rPr>
          <w:rFonts w:ascii="Times New Roman" w:cs="Times New Roman" w:eastAsia="Times New Roman" w:hAnsi="Times New Roman"/>
          <w:sz w:val="18"/>
          <w:szCs w:val="18"/>
          <w:color w:val="auto"/>
        </w:rPr>
        <w:t>We may pursue additional acquisition candidates, but the timing, size or success of any acquisition effort and the related potential capital commitments cannot be predicted. We continue to expect to fund future cash acquisitions primarily with cash flow from operations and borrowings, including the unborrowed portion of the revolving credit facility or new debt issuances, but may also issue additional equity either directly or in connection with acquisitions. There can be no assurance that additional financing for acquisitions will be available at terms acceptable to us.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21"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 Private Securities Litigation Reform Act of 1995 provides safe harbor provisions for forward-looking information. Some of the information in this document contains, or has incorporated by reference, forward-looking statements. Statements that are not historical facts, including statements about our beliefs and expectations, are forward-looking statements. Forward-looking statements typically are identified by use of terms such as “may,” “believe,” “plan,” “will,” “expect,” “anticipate,” “estimate,” “should,” “forecast,” and similar words, although some forward-looking statements are expressed differently. We may also provide oral or written forward-looking information in other materials we release to the public. Forward-looking information involves risk and uncertainties and reflects our best judgment based on current information. You should be aware that our actual results could differ materially from results anticipated in the forward-looking statements due to a number of factors, including but not limited to changes in oil and gas prices, customer demand for our products and worldwide economic activity, including matters related to recent Russian sanctions. Given these uncertainties, current or prospective investors are cautioned not to place undue reliance on any such forward-looking statements. We undertake no obligation to update any such factors or forward-looking statements to reflect future events or developments. You should also consider carefully the statements under “Risk Factors,” as disclosed in our Annual Report on Form 10-K for the year-end December 31, 2023, as updated in Part II, Item 1A of our Quarterly Reports on Form 10-Q, which address additional factors that could cause our actual results to differ from those set forth in the forward-looking statements, and additional disclosures we make in our press releases and Forms 10-Q, and 8-K. We also suggest that you listen to our quarterly earnings release conference calls with financial analysts.</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8"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are exposed to changes in foreign currency exchange rates and interest rates. Additional information concerning each of these matters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Currency Exchange Rates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extensive operations in foreign countries. The net assets and liabilities of these operations are exposed to changes in foreign currency exchange rates, although such fluctuations have a muted effect on net income since the functional currency for the majority of them is the local currency. These operations also have net assets and liabilities not denominated in the functional currency, which exposes us to changes in foreign currency exchange rates that impact income. We recorded a foreign exchange loss in our income statement of $27 million in the first nine months of 2024, compared to a $58 million foreign exchange loss in the same period of the prior year. Gains and losses are primarily due to exchange rate fluctuations related to monetary asset balances denominated in currencies other than the functional currency and adjustments to our hedged positions as a result of changes in foreign currency exchange rates. Currency exchange rate fluctuations may create losses in future periods to the extent we maintain net monetary assets and liabilities not denominated in the functional currency of the NOV operation.</w:t>
      </w:r>
    </w:p>
    <w:p>
      <w:pPr>
        <w:spacing w:after="0" w:line="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Some of our revenues in foreign countries are denominated in U.S. dollars, and therefore, changes in foreign currency exchange rates impact our earnings to the extent that costs associated with those U.S. dollar revenues are denominated in the local currency. Similarly, some of our revenues are denominated in foreign currencies, but have associated U.S. dollar costs, which also give rise to foreign currency exchange rate exposure. In order to mitigate that risk, we may utilize foreign currency forward contracts to better match the currency of our revenues and associated costs. We do not use foreign currency forward contracts for trading or speculative purposes.</w:t>
      </w:r>
    </w:p>
    <w:p>
      <w:pPr>
        <w:spacing w:after="0" w:line="74"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color w:val="auto"/>
        </w:rPr>
        <w:t>The Company had other financial market risk sensitive instruments (cash balances, overdraft facilities, accounts receivable and accounts payable) denominated in foreign currencies with transactional exposures totaling $520 million and translation exposures totaling $353 million as of September 30, 2024. The Company estimates that a hypothetical 10% movement of all applicable foreign currency exchange rates on the transactional exposures could affect net income by $41 million and the translational exposures could affect Other Comprehensive Income by $35 million.</w:t>
      </w:r>
    </w:p>
    <w:p>
      <w:pPr>
        <w:spacing w:after="0" w:line="74"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The counterparties to forward contracts are major financial institutions. The credit ratings and concentration of risk of these financial institutions are monitored on a continuing basis. Because these contracts are net-settled the Company’s credit risk with the counterparties is limited to the foreign currency rate differential at the end of the contract.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Risk</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At September 30, 2024, borrowings consisted of $1,091 million in 3.95% Senior Notes, $496 million in 3.60% Senior Notes, and other debt of $162 million. At September 30, 2024, there were no outstanding letters of credit issued under the Company's revolving credit facility, resulting in $1.5 billion of available funds. Additionally, the Company’s joint venture has outstanding borrowings of $99 million under a $150 million bank line of credit for the construction of a facility in Saudi Arabia. Interest under the bank line of credit is based upon SOFR plus 1.40%. Occasionally a portion of borrowings under our credit facility could be denominated in multiple currencies which could expose us to market risk with exchange rate movements. These instruments carry interest at a pre-agreed upon percentage point spread from either SOFR, EURIBOR, SONIA, CORRA, or NIBOR, or at the U.S. prime rate. Under our credit facility, we may, at our option, fix the interest rate for certain borrowings based on a spread over SOFR, EURIBOR, SONIA, CORRA or NIBOR for one month to six months. Our objective is to maintain a portion of our debt in variable rate borrowings for the flexibility obtained regarding early repayment without penalties and lower overall cost as compared with fixed-rate borrowings.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2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As of the end of the period covered by this report, we carried out an evaluation, under the supervision and with the participation of the Company’s management, including the Company’s Chief Executive Officer and Chief Financial Officer, of the effectiveness of the design and operation of the Company’s disclosure controls and procedures. The Company’s disclosure controls and procedures are designed to provide reasonable assurance that the information required to be disclosed by the Company in the reports it files under the Exchange Act is accumulated and communicated to the Company’s management, including the Company’s Chief Executive Officer and Chief Financial Officer, as appropriate, to allow timely decisions regarding required disclosures and is recorded, processed, summarized and reported within the time period specified in the rules and forms of the Securities and Exchange Commission. Based upon that evaluation, the Company’s Chief Executive Officer and Chief Financial Officer concluded that the Company’s disclosure controls and procedures are effective as of the end of the period covered by this report at a reasonable assurance level.</w:t>
      </w:r>
    </w:p>
    <w:p>
      <w:pPr>
        <w:spacing w:after="0" w:line="81" w:lineRule="exact"/>
        <w:rPr>
          <w:sz w:val="20"/>
          <w:szCs w:val="20"/>
          <w:color w:val="auto"/>
        </w:rPr>
      </w:pPr>
    </w:p>
    <w:p>
      <w:pPr>
        <w:jc w:val="both"/>
        <w:ind w:right="20"/>
        <w:spacing w:after="0" w:line="281"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that occurred during our last fiscal quarter that has materially affected, or is reasonably likely to materially affect, our internal control over financial reporting.</w:t>
      </w:r>
    </w:p>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94" w:right="339" w:bottom="1440"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PART II - OTHER INFORMATION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21" w:lineRule="exact"/>
        <w:rPr>
          <w:sz w:val="20"/>
          <w:szCs w:val="20"/>
          <w:color w:val="auto"/>
        </w:rPr>
      </w:pPr>
    </w:p>
    <w:p>
      <w:pPr>
        <w:ind w:right="80"/>
        <w:spacing w:after="0" w:line="281" w:lineRule="auto"/>
        <w:rPr>
          <w:sz w:val="20"/>
          <w:szCs w:val="20"/>
          <w:color w:val="auto"/>
        </w:rPr>
      </w:pPr>
      <w:r>
        <w:rPr>
          <w:rFonts w:ascii="Times New Roman" w:cs="Times New Roman" w:eastAsia="Times New Roman" w:hAnsi="Times New Roman"/>
          <w:sz w:val="18"/>
          <w:szCs w:val="18"/>
          <w:color w:val="auto"/>
        </w:rPr>
        <w:t>As of the date of this filing, the Company and its operations continue to be subject to the risk factors previously disclosed in Part I, Item 1A “Risk Factors” in our 2023 Annual Report on Form 10-K for the fiscal year ended December 31, 2023.</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Purchases of Equity Securities by the Issuer and Affiliated Purchasers</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 of</w:t>
            </w:r>
          </w:p>
        </w:tc>
        <w:tc>
          <w:tcPr>
            <w:tcW w:w="220" w:type="dxa"/>
            <w:vAlign w:val="bottom"/>
          </w:tcPr>
          <w:p>
            <w:pPr>
              <w:spacing w:after="0"/>
              <w:rPr>
                <w:sz w:val="13"/>
                <w:szCs w:val="13"/>
                <w:color w:val="auto"/>
              </w:rPr>
            </w:pPr>
          </w:p>
        </w:tc>
        <w:tc>
          <w:tcPr>
            <w:tcW w:w="20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Approximate dollar</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number</w:t>
            </w:r>
          </w:p>
        </w:tc>
        <w:tc>
          <w:tcPr>
            <w:tcW w:w="240" w:type="dxa"/>
            <w:vAlign w:val="bottom"/>
          </w:tcPr>
          <w:p>
            <w:pPr>
              <w:spacing w:after="0"/>
              <w:rPr>
                <w:sz w:val="12"/>
                <w:szCs w:val="12"/>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w:t>
            </w:r>
          </w:p>
        </w:tc>
        <w:tc>
          <w:tcPr>
            <w:tcW w:w="2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4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as part of publicly</w:t>
            </w:r>
          </w:p>
        </w:tc>
        <w:tc>
          <w:tcPr>
            <w:tcW w:w="2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440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20" w:type="dxa"/>
            <w:vAlign w:val="bottom"/>
          </w:tcPr>
          <w:p>
            <w:pPr>
              <w:spacing w:after="0"/>
              <w:rPr>
                <w:sz w:val="12"/>
                <w:szCs w:val="12"/>
                <w:color w:val="auto"/>
              </w:rPr>
            </w:pPr>
          </w:p>
        </w:tc>
        <w:tc>
          <w:tcPr>
            <w:tcW w:w="12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24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220" w:type="dxa"/>
            <w:vAlign w:val="bottom"/>
          </w:tcPr>
          <w:p>
            <w:pPr>
              <w:spacing w:after="0"/>
              <w:rPr>
                <w:sz w:val="12"/>
                <w:szCs w:val="12"/>
                <w:color w:val="auto"/>
              </w:rPr>
            </w:pPr>
          </w:p>
        </w:tc>
        <w:tc>
          <w:tcPr>
            <w:tcW w:w="16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 plans</w:t>
            </w:r>
          </w:p>
        </w:tc>
        <w:tc>
          <w:tcPr>
            <w:tcW w:w="220" w:type="dxa"/>
            <w:vAlign w:val="bottom"/>
          </w:tcPr>
          <w:p>
            <w:pPr>
              <w:spacing w:after="0"/>
              <w:rPr>
                <w:sz w:val="12"/>
                <w:szCs w:val="12"/>
                <w:color w:val="auto"/>
              </w:rPr>
            </w:pPr>
          </w:p>
        </w:tc>
        <w:tc>
          <w:tcPr>
            <w:tcW w:w="20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w:t>
            </w:r>
          </w:p>
        </w:tc>
        <w:tc>
          <w:tcPr>
            <w:tcW w:w="0" w:type="dxa"/>
            <w:vAlign w:val="bottom"/>
          </w:tcPr>
          <w:p>
            <w:pPr>
              <w:spacing w:after="0"/>
              <w:rPr>
                <w:sz w:val="1"/>
                <w:szCs w:val="1"/>
                <w:color w:val="auto"/>
              </w:rPr>
            </w:pPr>
          </w:p>
        </w:tc>
      </w:tr>
      <w:tr>
        <w:trPr>
          <w:trHeight w:val="187"/>
        </w:trPr>
        <w:tc>
          <w:tcPr>
            <w:tcW w:w="440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w:t>
            </w:r>
          </w:p>
        </w:tc>
        <w:tc>
          <w:tcPr>
            <w:tcW w:w="240" w:type="dxa"/>
            <w:vAlign w:val="bottom"/>
          </w:tcPr>
          <w:p>
            <w:pPr>
              <w:spacing w:after="0"/>
              <w:rPr>
                <w:sz w:val="16"/>
                <w:szCs w:val="16"/>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220" w:type="dxa"/>
            <w:vAlign w:val="bottom"/>
          </w:tcPr>
          <w:p>
            <w:pPr>
              <w:spacing w:after="0"/>
              <w:rPr>
                <w:sz w:val="16"/>
                <w:szCs w:val="16"/>
                <w:color w:val="auto"/>
              </w:rPr>
            </w:pPr>
          </w:p>
        </w:tc>
        <w:tc>
          <w:tcPr>
            <w:tcW w:w="1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or programs</w:t>
            </w:r>
          </w:p>
        </w:tc>
        <w:tc>
          <w:tcPr>
            <w:tcW w:w="220" w:type="dxa"/>
            <w:vAlign w:val="bottom"/>
          </w:tcPr>
          <w:p>
            <w:pPr>
              <w:spacing w:after="0"/>
              <w:rPr>
                <w:sz w:val="16"/>
                <w:szCs w:val="16"/>
                <w:color w:val="auto"/>
              </w:rPr>
            </w:pPr>
          </w:p>
        </w:tc>
        <w:tc>
          <w:tcPr>
            <w:tcW w:w="1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July 1 through July 31, 2024</w:t>
            </w:r>
          </w:p>
        </w:tc>
        <w:tc>
          <w:tcPr>
            <w:tcW w:w="14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49,374</w:t>
            </w:r>
          </w:p>
        </w:tc>
        <w:tc>
          <w:tcPr>
            <w:tcW w:w="13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20.34</w:t>
            </w:r>
          </w:p>
        </w:tc>
        <w:tc>
          <w:tcPr>
            <w:tcW w:w="18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49,146</w:t>
            </w:r>
          </w:p>
        </w:tc>
        <w:tc>
          <w:tcPr>
            <w:tcW w:w="22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962,429,569</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8"/>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through August 31, 2024</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2,539,793</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17.78</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2,539,793</w:t>
            </w:r>
          </w:p>
        </w:tc>
        <w:tc>
          <w:tcPr>
            <w:tcW w:w="2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917,273,995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7"/>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September 1 through September 30, 2024</w:t>
            </w:r>
          </w:p>
        </w:tc>
        <w:tc>
          <w:tcPr>
            <w:tcW w:w="120" w:type="dxa"/>
            <w:vAlign w:val="bottom"/>
            <w:tcBorders>
              <w:bottom w:val="single" w:sz="8" w:color="CFF0FC"/>
            </w:tcBorders>
            <w:shd w:val="clear" w:color="auto" w:fill="CFF0FC"/>
          </w:tcPr>
          <w:p>
            <w:pPr>
              <w:spacing w:after="0"/>
              <w:rPr>
                <w:sz w:val="21"/>
                <w:szCs w:val="21"/>
                <w:color w:val="auto"/>
              </w:rPr>
            </w:pPr>
          </w:p>
        </w:tc>
        <w:tc>
          <w:tcPr>
            <w:tcW w:w="12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2,056,729</w:t>
            </w:r>
          </w:p>
        </w:tc>
        <w:tc>
          <w:tcPr>
            <w:tcW w:w="240" w:type="dxa"/>
            <w:vAlign w:val="bottom"/>
            <w:tcBorders>
              <w:bottom w:val="single" w:sz="8" w:color="CFF0FC"/>
            </w:tcBorders>
            <w:shd w:val="clear" w:color="auto" w:fill="CFF0FC"/>
          </w:tcPr>
          <w:p>
            <w:pPr>
              <w:spacing w:after="0"/>
              <w:rPr>
                <w:sz w:val="21"/>
                <w:szCs w:val="21"/>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16.46</w:t>
            </w:r>
          </w:p>
        </w:tc>
        <w:tc>
          <w:tcPr>
            <w:tcW w:w="220" w:type="dxa"/>
            <w:vAlign w:val="bottom"/>
            <w:tcBorders>
              <w:bottom w:val="single" w:sz="8" w:color="CFF0FC"/>
            </w:tcBorders>
            <w:shd w:val="clear" w:color="auto" w:fill="CFF0FC"/>
          </w:tcPr>
          <w:p>
            <w:pPr>
              <w:spacing w:after="0"/>
              <w:rPr>
                <w:sz w:val="21"/>
                <w:szCs w:val="21"/>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2,056,729</w:t>
            </w:r>
          </w:p>
        </w:tc>
        <w:tc>
          <w:tcPr>
            <w:tcW w:w="2200" w:type="dxa"/>
            <w:vAlign w:val="bottom"/>
            <w:tcBorders>
              <w:bottom w:val="single" w:sz="8" w:color="CFF0FC"/>
            </w:tcBorders>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883,429,559</w:t>
            </w:r>
          </w:p>
        </w:tc>
        <w:tc>
          <w:tcPr>
            <w:tcW w:w="100" w:type="dxa"/>
            <w:vAlign w:val="bottom"/>
            <w:tcBorders>
              <w:bottom w:val="single" w:sz="8" w:color="CFF0FC"/>
            </w:tcBorders>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2"/>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4,645,896</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17.22</w:t>
            </w:r>
          </w:p>
        </w:tc>
        <w:tc>
          <w:tcPr>
            <w:tcW w:w="1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4,645,668</w:t>
            </w:r>
          </w:p>
        </w:tc>
        <w:tc>
          <w:tcPr>
            <w:tcW w:w="22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3686810</wp:posOffset>
            </wp:positionH>
            <wp:positionV relativeFrom="paragraph">
              <wp:posOffset>-187960</wp:posOffset>
            </wp:positionV>
            <wp:extent cx="76835"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4509135</wp:posOffset>
            </wp:positionH>
            <wp:positionV relativeFrom="paragraph">
              <wp:posOffset>-187960</wp:posOffset>
            </wp:positionV>
            <wp:extent cx="6858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5673090</wp:posOffset>
            </wp:positionH>
            <wp:positionV relativeFrom="paragraph">
              <wp:posOffset>-187960</wp:posOffset>
            </wp:positionV>
            <wp:extent cx="6858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Information regarding mine safety and other regulatory actions at our mines is included in Exhibit 95 to this Form 10-Q.</w:t>
      </w:r>
    </w:p>
    <w:p>
      <w:pPr>
        <w:spacing w:after="0" w:line="2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 is hereby made to the Exhibit Index commencing on page 31.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0" w:name="page31"/>
    <w:bookmarkEnd w:id="30"/>
    <w:tbl>
      <w:tblPr>
        <w:tblLayout w:type="fixed"/>
        <w:tblInd w:w="0" w:type="dxa"/>
        <w:tblCellMar>
          <w:top w:w="0" w:type="dxa"/>
          <w:left w:w="0" w:type="dxa"/>
          <w:bottom w:w="0" w:type="dxa"/>
          <w:right w:w="0" w:type="dxa"/>
        </w:tblCellMar>
      </w:tblPr>
      <w:tr>
        <w:trPr>
          <w:trHeight w:val="238"/>
        </w:trPr>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20" w:type="dxa"/>
            <w:vAlign w:val="bottom"/>
            <w:gridSpan w:val="5"/>
          </w:tcPr>
          <w:p>
            <w:pPr>
              <w:ind w:left="3680"/>
              <w:spacing w:after="0"/>
              <w:rPr>
                <w:sz w:val="20"/>
                <w:szCs w:val="20"/>
                <w:color w:val="auto"/>
              </w:rPr>
            </w:pPr>
            <w:r>
              <w:rPr>
                <w:rFonts w:ascii="Times New Roman" w:cs="Times New Roman" w:eastAsia="Times New Roman" w:hAnsi="Times New Roman"/>
                <w:sz w:val="18"/>
                <w:szCs w:val="18"/>
                <w:b w:val="1"/>
                <w:bCs w:val="1"/>
                <w:color w:val="auto"/>
              </w:rPr>
              <w:t>INDEX TO EXHIBITS</w:t>
            </w:r>
          </w:p>
        </w:tc>
      </w:tr>
      <w:tr>
        <w:trPr>
          <w:trHeight w:val="324"/>
        </w:trPr>
        <w:tc>
          <w:tcPr>
            <w:tcW w:w="4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9"/>
              </w:rPr>
              <w:t>(a)</w:t>
            </w:r>
          </w:p>
        </w:tc>
        <w:tc>
          <w:tcPr>
            <w:tcW w:w="8620" w:type="dxa"/>
            <w:vAlign w:val="bottom"/>
            <w:gridSpan w:val="6"/>
          </w:tcPr>
          <w:p>
            <w:pPr>
              <w:ind w:left="100"/>
              <w:spacing w:after="0"/>
              <w:rPr>
                <w:sz w:val="20"/>
                <w:szCs w:val="20"/>
                <w:color w:val="auto"/>
              </w:rPr>
            </w:pPr>
            <w:r>
              <w:rPr>
                <w:rFonts w:ascii="Times New Roman" w:cs="Times New Roman" w:eastAsia="Times New Roman" w:hAnsi="Times New Roman"/>
                <w:sz w:val="18"/>
                <w:szCs w:val="18"/>
                <w:color w:val="auto"/>
              </w:rPr>
              <w:t>Exhibits</w:t>
            </w:r>
          </w:p>
        </w:tc>
      </w:tr>
      <w:tr>
        <w:trPr>
          <w:trHeight w:val="4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600" w:type="dxa"/>
            <w:vAlign w:val="bottom"/>
          </w:tcPr>
          <w:p>
            <w:pPr>
              <w:spacing w:after="0"/>
              <w:rPr>
                <w:sz w:val="24"/>
                <w:szCs w:val="24"/>
                <w:color w:val="auto"/>
              </w:rPr>
            </w:pPr>
          </w:p>
        </w:tc>
        <w:tc>
          <w:tcPr>
            <w:tcW w:w="8020" w:type="dxa"/>
            <w:vAlign w:val="bottom"/>
            <w:gridSpan w:val="5"/>
          </w:tcPr>
          <w:p>
            <w:pPr>
              <w:spacing w:after="0"/>
              <w:rPr>
                <w:rFonts w:ascii="Times New Roman" w:cs="Times New Roman" w:eastAsia="Times New Roman" w:hAnsi="Times New Roman"/>
                <w:sz w:val="18"/>
                <w:szCs w:val="18"/>
                <w:color w:val="0000FF"/>
              </w:rPr>
            </w:pPr>
            <w:hyperlink r:id="rId407">
              <w:r>
                <w:rPr>
                  <w:rFonts w:ascii="Times New Roman" w:cs="Times New Roman" w:eastAsia="Times New Roman" w:hAnsi="Times New Roman"/>
                  <w:sz w:val="18"/>
                  <w:szCs w:val="18"/>
                  <w:color w:val="0000FF"/>
                </w:rPr>
                <w:t>Seventh Amended and Restated Certificate of Incorporation of NOV Inc. (Exhibit 3.1) (1)</w:t>
              </w:r>
            </w:hyperlink>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FF"/>
            </w:tcBorders>
            <w:shd w:val="clear" w:color="auto" w:fill="0000FF"/>
          </w:tcPr>
          <w:p>
            <w:pPr>
              <w:spacing w:after="0" w:line="20" w:lineRule="exact"/>
              <w:rPr>
                <w:sz w:val="1"/>
                <w:szCs w:val="1"/>
                <w:color w:val="auto"/>
              </w:rPr>
            </w:pPr>
          </w:p>
        </w:tc>
        <w:tc>
          <w:tcPr>
            <w:tcW w:w="940" w:type="dxa"/>
            <w:vAlign w:val="bottom"/>
            <w:tcBorders>
              <w:left w:val="single" w:sz="8" w:color="0000FF"/>
            </w:tcBorders>
            <w:shd w:val="clear" w:color="auto" w:fill="0000FF"/>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600" w:type="dxa"/>
            <w:vAlign w:val="bottom"/>
          </w:tcPr>
          <w:p>
            <w:pPr>
              <w:spacing w:after="0"/>
              <w:rPr>
                <w:sz w:val="24"/>
                <w:szCs w:val="24"/>
                <w:color w:val="auto"/>
              </w:rPr>
            </w:pPr>
          </w:p>
        </w:tc>
        <w:tc>
          <w:tcPr>
            <w:tcW w:w="8020" w:type="dxa"/>
            <w:vAlign w:val="bottom"/>
            <w:gridSpan w:val="5"/>
          </w:tcPr>
          <w:p>
            <w:pPr>
              <w:spacing w:after="0"/>
              <w:rPr>
                <w:rFonts w:ascii="Times New Roman" w:cs="Times New Roman" w:eastAsia="Times New Roman" w:hAnsi="Times New Roman"/>
                <w:sz w:val="18"/>
                <w:szCs w:val="18"/>
                <w:color w:val="0000FF"/>
              </w:rPr>
            </w:pPr>
            <w:hyperlink r:id="rId408">
              <w:r>
                <w:rPr>
                  <w:rFonts w:ascii="Times New Roman" w:cs="Times New Roman" w:eastAsia="Times New Roman" w:hAnsi="Times New Roman"/>
                  <w:sz w:val="18"/>
                  <w:szCs w:val="18"/>
                  <w:color w:val="0000FF"/>
                </w:rPr>
                <w:t>Amended and Restated By-laws of NOV Inc. (Exhibit 3.1) (2)</w:t>
              </w:r>
            </w:hyperlink>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EE"/>
            </w:tcBorders>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4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tcPr>
          <w:p>
            <w:pPr>
              <w:spacing w:after="0"/>
              <w:rPr>
                <w:sz w:val="24"/>
                <w:szCs w:val="24"/>
                <w:color w:val="auto"/>
              </w:rPr>
            </w:pPr>
          </w:p>
        </w:tc>
        <w:tc>
          <w:tcPr>
            <w:tcW w:w="8020" w:type="dxa"/>
            <w:vAlign w:val="bottom"/>
            <w:gridSpan w:val="5"/>
          </w:tcPr>
          <w:p>
            <w:pPr>
              <w:spacing w:after="0"/>
              <w:rPr>
                <w:rFonts w:ascii="Times New Roman" w:cs="Times New Roman" w:eastAsia="Times New Roman" w:hAnsi="Times New Roman"/>
                <w:sz w:val="18"/>
                <w:szCs w:val="18"/>
                <w:color w:val="0000FF"/>
              </w:rPr>
            </w:pPr>
            <w:hyperlink r:id="rId409">
              <w:r>
                <w:rPr>
                  <w:rFonts w:ascii="Times New Roman" w:cs="Times New Roman" w:eastAsia="Times New Roman" w:hAnsi="Times New Roman"/>
                  <w:sz w:val="18"/>
                  <w:szCs w:val="18"/>
                  <w:color w:val="0000FF"/>
                </w:rPr>
                <w:t>5-Year Credit Agreement, dated as of September 12, 2024. (Exhibit 10.1) (3)</w:t>
              </w:r>
            </w:hyperlink>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tcBorders>
              <w:left w:val="single" w:sz="8" w:color="0000EE"/>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(4)</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w w:val="99"/>
              </w:rPr>
              <w:t>Certification pursuant to Rule 13a-14a and Rule 15d-14(a) of the Securities and Exchange Act, as amended. (4)</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FF"/>
            </w:tcBorders>
            <w:gridSpan w:val="2"/>
            <w:shd w:val="clear" w:color="auto" w:fill="0000FF"/>
          </w:tcPr>
          <w:p>
            <w:pPr>
              <w:spacing w:after="0" w:line="20" w:lineRule="exact"/>
              <w:rPr>
                <w:sz w:val="1"/>
                <w:szCs w:val="1"/>
                <w:color w:val="auto"/>
              </w:rPr>
            </w:pPr>
          </w:p>
        </w:tc>
        <w:tc>
          <w:tcPr>
            <w:tcW w:w="2480" w:type="dxa"/>
            <w:vAlign w:val="bottom"/>
            <w:tcBorders>
              <w:left w:val="single" w:sz="8" w:color="0000FF"/>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32.1</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(4)</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5520" w:type="dxa"/>
            <w:vAlign w:val="bottom"/>
            <w:tcBorders>
              <w:right w:val="single" w:sz="8" w:color="0000EE"/>
            </w:tcBorders>
            <w:gridSpan w:val="2"/>
            <w:shd w:val="clear" w:color="auto" w:fill="0000FF"/>
          </w:tcPr>
          <w:p>
            <w:pPr>
              <w:spacing w:after="0" w:line="20" w:lineRule="exact"/>
              <w:rPr>
                <w:sz w:val="1"/>
                <w:szCs w:val="1"/>
                <w:color w:val="auto"/>
              </w:rPr>
            </w:pPr>
          </w:p>
        </w:tc>
        <w:tc>
          <w:tcPr>
            <w:tcW w:w="2500" w:type="dxa"/>
            <w:vAlign w:val="bottom"/>
            <w:gridSpan w:val="3"/>
          </w:tcPr>
          <w:p>
            <w:pPr>
              <w:spacing w:after="0" w:line="20" w:lineRule="exact"/>
              <w:rPr>
                <w:sz w:val="1"/>
                <w:szCs w:val="1"/>
                <w:color w:val="auto"/>
              </w:rPr>
            </w:pPr>
          </w:p>
        </w:tc>
      </w:tr>
      <w:tr>
        <w:trPr>
          <w:trHeight w:val="331"/>
        </w:trPr>
        <w:tc>
          <w:tcPr>
            <w:tcW w:w="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600" w:type="dxa"/>
            <w:vAlign w:val="bottom"/>
          </w:tcPr>
          <w:p>
            <w:pPr>
              <w:spacing w:after="0"/>
              <w:rPr>
                <w:sz w:val="24"/>
                <w:szCs w:val="24"/>
                <w:color w:val="auto"/>
              </w:rPr>
            </w:pPr>
          </w:p>
        </w:tc>
        <w:tc>
          <w:tcPr>
            <w:tcW w:w="802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Certification pursuant to Section 906 of the Sarbanes-Oxley Act of 2002. (4)</w:t>
            </w:r>
          </w:p>
        </w:tc>
      </w:tr>
      <w:tr>
        <w:trPr>
          <w:trHeight w:val="20"/>
        </w:trPr>
        <w:tc>
          <w:tcPr>
            <w:tcW w:w="420" w:type="dxa"/>
            <w:vAlign w:val="bottom"/>
          </w:tcPr>
          <w:p>
            <w:pPr>
              <w:spacing w:after="0" w:line="20" w:lineRule="exact"/>
              <w:rPr>
                <w:sz w:val="1"/>
                <w:szCs w:val="1"/>
                <w:color w:val="auto"/>
              </w:rPr>
            </w:pPr>
          </w:p>
        </w:tc>
        <w:tc>
          <w:tcPr>
            <w:tcW w:w="600" w:type="dxa"/>
            <w:vAlign w:val="bottom"/>
            <w:tcBorders>
              <w:right w:val="single" w:sz="8" w:color="0000EE"/>
            </w:tcBorders>
          </w:tcPr>
          <w:p>
            <w:pPr>
              <w:spacing w:after="0" w:line="20" w:lineRule="exact"/>
              <w:rPr>
                <w:sz w:val="1"/>
                <w:szCs w:val="1"/>
                <w:color w:val="auto"/>
              </w:rPr>
            </w:pPr>
          </w:p>
        </w:tc>
        <w:tc>
          <w:tcPr>
            <w:tcW w:w="4480" w:type="dxa"/>
            <w:vAlign w:val="bottom"/>
            <w:tcBorders>
              <w:right w:val="single" w:sz="8" w:color="0000FF"/>
            </w:tcBorders>
            <w:shd w:val="clear" w:color="auto" w:fill="0000FF"/>
          </w:tcPr>
          <w:p>
            <w:pPr>
              <w:spacing w:after="0" w:line="20" w:lineRule="exact"/>
              <w:rPr>
                <w:sz w:val="1"/>
                <w:szCs w:val="1"/>
                <w:color w:val="auto"/>
              </w:rPr>
            </w:pPr>
          </w:p>
        </w:tc>
        <w:tc>
          <w:tcPr>
            <w:tcW w:w="1040" w:type="dxa"/>
            <w:vAlign w:val="bottom"/>
            <w:tcBorders>
              <w:right w:val="single" w:sz="8" w:color="0000EE"/>
            </w:tcBorders>
            <w:shd w:val="clear" w:color="auto" w:fill="0000FF"/>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143" w:lineRule="exact"/>
        <w:rPr>
          <w:sz w:val="20"/>
          <w:szCs w:val="20"/>
          <w:color w:val="auto"/>
        </w:rPr>
      </w:pPr>
    </w:p>
    <w:p>
      <w:pPr>
        <w:ind w:left="1000" w:hanging="979"/>
        <w:spacing w:after="0"/>
        <w:tabs>
          <w:tab w:leader="none" w:pos="10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0000FF"/>
        </w:rPr>
        <w:t>Mine Safety Information pursuant to section 1503 of the Dodd-Frank Act.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638810</wp:posOffset>
            </wp:positionH>
            <wp:positionV relativeFrom="paragraph">
              <wp:posOffset>-7620</wp:posOffset>
            </wp:positionV>
            <wp:extent cx="354330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3543300" cy="8255"/>
                    </a:xfrm>
                    <a:prstGeom prst="rect">
                      <a:avLst/>
                    </a:prstGeom>
                    <a:noFill/>
                  </pic:spPr>
                </pic:pic>
              </a:graphicData>
            </a:graphic>
          </wp:anchor>
        </w:drawing>
      </w:r>
    </w:p>
    <w:p>
      <w:pPr>
        <w:spacing w:after="0" w:line="12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w w:val="99"/>
              </w:rPr>
              <w:t>Inline XBRL Instance Document – the instance document does not appear in the Interactive Data File because its XBRL tags are embedded</w:t>
            </w:r>
          </w:p>
        </w:tc>
      </w:tr>
      <w:tr>
        <w:trPr>
          <w:trHeight w:val="234"/>
        </w:trPr>
        <w:tc>
          <w:tcPr>
            <w:tcW w:w="840" w:type="dxa"/>
            <w:vAlign w:val="bottom"/>
          </w:tcPr>
          <w:p>
            <w:pPr>
              <w:spacing w:after="0"/>
              <w:rPr>
                <w:sz w:val="20"/>
                <w:szCs w:val="20"/>
                <w:color w:val="auto"/>
              </w:rPr>
            </w:pP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r>
      <w:tr>
        <w:trPr>
          <w:trHeight w:val="351"/>
        </w:trPr>
        <w:tc>
          <w:tcPr>
            <w:tcW w:w="8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102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r>
    </w:tbl>
    <w:p>
      <w:pPr>
        <w:spacing w:after="0" w:line="116" w:lineRule="exact"/>
        <w:rPr>
          <w:sz w:val="20"/>
          <w:szCs w:val="20"/>
          <w:color w:val="auto"/>
        </w:rPr>
      </w:pPr>
    </w:p>
    <w:p>
      <w:pPr>
        <w:ind w:right="3720" w:firstLine="21"/>
        <w:spacing w:after="0" w:line="390" w:lineRule="auto"/>
        <w:tabs>
          <w:tab w:leader="none" w:pos="998" w:val="left"/>
        </w:tabs>
        <w:numPr>
          <w:ilvl w:val="1"/>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(formatted as inline XBRL and contained in Exhibit 101) * Compensatory plan or arrangement for management or others.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-175260</wp:posOffset>
            </wp:positionV>
            <wp:extent cx="1900555"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1900555" cy="8255"/>
                    </a:xfrm>
                    <a:prstGeom prst="rect">
                      <a:avLst/>
                    </a:prstGeom>
                    <a:noFill/>
                  </pic:spPr>
                </pic:pic>
              </a:graphicData>
            </a:graphic>
          </wp:anchor>
        </w:drawing>
      </w: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May 18, 2023</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February 28, 2023.</w:t>
      </w:r>
    </w:p>
    <w:p>
      <w:pPr>
        <w:spacing w:after="0" w:line="89"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as an Exhibit to our Current Report on Form 8-K filed on September 12, 2024.</w:t>
      </w:r>
    </w:p>
    <w:p>
      <w:pPr>
        <w:spacing w:after="0" w:line="76" w:lineRule="exact"/>
        <w:rPr>
          <w:rFonts w:ascii="Times New Roman" w:cs="Times New Roman" w:eastAsia="Times New Roman" w:hAnsi="Times New Roman"/>
          <w:sz w:val="18"/>
          <w:szCs w:val="18"/>
          <w:color w:val="auto"/>
        </w:rPr>
      </w:pPr>
    </w:p>
    <w:p>
      <w:pPr>
        <w:ind w:left="520" w:hanging="512"/>
        <w:spacing w:after="0"/>
        <w:tabs>
          <w:tab w:leader="none" w:pos="5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Filed herewith.</w:t>
      </w:r>
    </w:p>
    <w:p>
      <w:pPr>
        <w:spacing w:after="0" w:line="25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We hereby undertake, pursuant to Regulation S-K, Item 601(b), paragraph (4) (iii), to furnish to the U.S. Securities and Exchange Commission, upon request, all constituent instruments defining the rights of holders of our long-term debt not filed herewith.</w:t>
      </w:r>
    </w:p>
    <w:p>
      <w:pPr>
        <w:spacing w:after="0" w:line="1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121"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14" w:lineRule="exact"/>
        <w:rPr>
          <w:sz w:val="20"/>
          <w:szCs w:val="20"/>
          <w:color w:val="auto"/>
        </w:rPr>
      </w:pPr>
    </w:p>
    <w:p>
      <w:pPr>
        <w:ind w:left="20"/>
        <w:spacing w:after="0"/>
        <w:tabs>
          <w:tab w:leader="none" w:pos="5520" w:val="left"/>
          <w:tab w:leader="none" w:pos="6100" w:val="left"/>
        </w:tabs>
        <w:rPr>
          <w:sz w:val="20"/>
          <w:szCs w:val="20"/>
          <w:color w:val="auto"/>
        </w:rPr>
      </w:pPr>
      <w:r>
        <w:rPr>
          <w:rFonts w:ascii="Times New Roman" w:cs="Times New Roman" w:eastAsia="Times New Roman" w:hAnsi="Times New Roman"/>
          <w:sz w:val="18"/>
          <w:szCs w:val="18"/>
          <w:color w:val="auto"/>
        </w:rPr>
        <w:t>Date: October 25, 2024</w:t>
      </w:r>
      <w:r>
        <w:rPr>
          <w:sz w:val="20"/>
          <w:szCs w:val="20"/>
          <w:color w:val="auto"/>
        </w:rPr>
        <w:tab/>
      </w: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7"/>
          <w:szCs w:val="17"/>
          <w:i w:val="1"/>
          <w:iCs w:val="1"/>
          <w:color w:val="auto"/>
        </w:rPr>
        <w:t>/s/ Christy H. Novak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3875405</wp:posOffset>
            </wp:positionH>
            <wp:positionV relativeFrom="paragraph">
              <wp:posOffset>27305</wp:posOffset>
            </wp:positionV>
            <wp:extent cx="3261995"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3261995" cy="8255"/>
                    </a:xfrm>
                    <a:prstGeom prst="rect">
                      <a:avLst/>
                    </a:prstGeom>
                    <a:noFill/>
                  </pic:spPr>
                </pic:pic>
              </a:graphicData>
            </a:graphic>
          </wp:anchor>
        </w:drawing>
      </w:r>
    </w:p>
    <w:p>
      <w:pPr>
        <w:spacing w:after="0" w:line="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Christy H. Novak</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Vice President, Corporate Controller &amp; Chief Accounting Officer</w:t>
      </w:r>
    </w:p>
    <w:p>
      <w:pPr>
        <w:spacing w:after="0" w:line="6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(Duly Authorized Officer, Principal Accounting Officer)</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483870</wp:posOffset>
            </wp:positionV>
            <wp:extent cx="7157720" cy="4254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32" w:name="page33"/>
    <w:bookmarkEnd w:id="32"/>
    <w:p>
      <w:pPr>
        <w:ind w:left="1026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Clay C. Williams, certify that:</w:t>
      </w:r>
    </w:p>
    <w:p>
      <w:pPr>
        <w:spacing w:after="0" w:line="225" w:lineRule="exact"/>
        <w:rPr>
          <w:sz w:val="20"/>
          <w:szCs w:val="20"/>
          <w:color w:val="auto"/>
        </w:rPr>
      </w:pPr>
    </w:p>
    <w:p>
      <w:pPr>
        <w:ind w:left="180" w:hanging="172"/>
        <w:spacing w:after="0"/>
        <w:tabs>
          <w:tab w:leader="none" w:pos="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 Inc.;</w:t>
      </w:r>
    </w:p>
    <w:p>
      <w:pPr>
        <w:spacing w:after="0" w:line="224" w:lineRule="exact"/>
        <w:rPr>
          <w:rFonts w:ascii="Times New Roman" w:cs="Times New Roman" w:eastAsia="Times New Roman" w:hAnsi="Times New Roman"/>
          <w:sz w:val="18"/>
          <w:szCs w:val="18"/>
          <w:color w:val="auto"/>
        </w:rPr>
      </w:pPr>
    </w:p>
    <w:p>
      <w:pPr>
        <w:ind w:firstLine="8"/>
        <w:spacing w:after="0" w:line="281" w:lineRule="auto"/>
        <w:tabs>
          <w:tab w:leader="none" w:pos="202"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181"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jc w:val="both"/>
        <w:ind w:firstLine="8"/>
        <w:spacing w:after="0" w:line="265" w:lineRule="auto"/>
        <w:tabs>
          <w:tab w:leader="none" w:pos="18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8"/>
        <w:spacing w:after="0" w:line="265" w:lineRule="auto"/>
        <w:tabs>
          <w:tab w:leader="none" w:pos="20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8"/>
        <w:spacing w:after="0" w:line="281" w:lineRule="auto"/>
        <w:tabs>
          <w:tab w:leader="none" w:pos="19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21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firstLine="8"/>
        <w:spacing w:after="0" w:line="281" w:lineRule="auto"/>
        <w:tabs>
          <w:tab w:leader="none" w:pos="201"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3" w:lineRule="exact"/>
        <w:rPr>
          <w:sz w:val="20"/>
          <w:szCs w:val="20"/>
          <w:color w:val="auto"/>
        </w:rPr>
      </w:pPr>
    </w:p>
    <w:p>
      <w:pPr>
        <w:ind w:firstLine="8"/>
        <w:spacing w:after="0" w:line="281" w:lineRule="auto"/>
        <w:tabs>
          <w:tab w:leader="none" w:pos="19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9"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26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Clay C. Williams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27305</wp:posOffset>
            </wp:positionV>
            <wp:extent cx="3202305"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5">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Clay C. Williams</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3" w:name="page34"/>
    <w:bookmarkEnd w:id="33"/>
    <w:p>
      <w:pPr>
        <w:ind w:left="1026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Jose A. Bayardo, certify that:</w:t>
      </w:r>
    </w:p>
    <w:p>
      <w:pPr>
        <w:spacing w:after="0" w:line="225" w:lineRule="exact"/>
        <w:rPr>
          <w:sz w:val="20"/>
          <w:szCs w:val="20"/>
          <w:color w:val="auto"/>
        </w:rPr>
      </w:pPr>
    </w:p>
    <w:p>
      <w:pPr>
        <w:ind w:left="180" w:hanging="172"/>
        <w:spacing w:after="0"/>
        <w:tabs>
          <w:tab w:leader="none" w:pos="1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NOV Inc.;</w:t>
      </w:r>
    </w:p>
    <w:p>
      <w:pPr>
        <w:spacing w:after="0" w:line="224" w:lineRule="exact"/>
        <w:rPr>
          <w:rFonts w:ascii="Times New Roman" w:cs="Times New Roman" w:eastAsia="Times New Roman" w:hAnsi="Times New Roman"/>
          <w:sz w:val="18"/>
          <w:szCs w:val="18"/>
          <w:color w:val="auto"/>
        </w:rPr>
      </w:pPr>
    </w:p>
    <w:p>
      <w:pPr>
        <w:ind w:firstLine="8"/>
        <w:spacing w:after="0" w:line="281" w:lineRule="auto"/>
        <w:tabs>
          <w:tab w:leader="none" w:pos="202"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181"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7" w:lineRule="exact"/>
        <w:rPr>
          <w:sz w:val="20"/>
          <w:szCs w:val="20"/>
          <w:color w:val="auto"/>
        </w:rPr>
      </w:pPr>
    </w:p>
    <w:p>
      <w:pPr>
        <w:jc w:val="both"/>
        <w:ind w:firstLine="8"/>
        <w:spacing w:after="0" w:line="265" w:lineRule="auto"/>
        <w:tabs>
          <w:tab w:leader="none" w:pos="18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7" w:lineRule="exact"/>
        <w:rPr>
          <w:rFonts w:ascii="Times New Roman" w:cs="Times New Roman" w:eastAsia="Times New Roman" w:hAnsi="Times New Roman"/>
          <w:sz w:val="18"/>
          <w:szCs w:val="18"/>
          <w:color w:val="auto"/>
        </w:rPr>
      </w:pPr>
    </w:p>
    <w:p>
      <w:pPr>
        <w:jc w:val="both"/>
        <w:ind w:firstLine="8"/>
        <w:spacing w:after="0" w:line="265" w:lineRule="auto"/>
        <w:tabs>
          <w:tab w:leader="none" w:pos="20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7" w:lineRule="exact"/>
        <w:rPr>
          <w:rFonts w:ascii="Times New Roman" w:cs="Times New Roman" w:eastAsia="Times New Roman" w:hAnsi="Times New Roman"/>
          <w:sz w:val="18"/>
          <w:szCs w:val="18"/>
          <w:color w:val="auto"/>
        </w:rPr>
      </w:pPr>
    </w:p>
    <w:p>
      <w:pPr>
        <w:ind w:firstLine="8"/>
        <w:spacing w:after="0" w:line="281" w:lineRule="auto"/>
        <w:tabs>
          <w:tab w:leader="none" w:pos="193"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2" w:lineRule="exact"/>
        <w:rPr>
          <w:rFonts w:ascii="Times New Roman" w:cs="Times New Roman" w:eastAsia="Times New Roman" w:hAnsi="Times New Roman"/>
          <w:sz w:val="18"/>
          <w:szCs w:val="18"/>
          <w:color w:val="auto"/>
        </w:rPr>
      </w:pPr>
    </w:p>
    <w:p>
      <w:pPr>
        <w:jc w:val="both"/>
        <w:ind w:firstLine="8"/>
        <w:spacing w:after="0" w:line="265" w:lineRule="auto"/>
        <w:tabs>
          <w:tab w:leader="none" w:pos="21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7" w:lineRule="exact"/>
        <w:rPr>
          <w:sz w:val="20"/>
          <w:szCs w:val="20"/>
          <w:color w:val="auto"/>
        </w:rPr>
      </w:pPr>
    </w:p>
    <w:p>
      <w:pPr>
        <w:ind w:firstLine="8"/>
        <w:spacing w:after="0" w:line="281" w:lineRule="auto"/>
        <w:tabs>
          <w:tab w:leader="none" w:pos="20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w:t>
      </w:r>
    </w:p>
    <w:p>
      <w:pPr>
        <w:spacing w:after="0" w:line="163" w:lineRule="exact"/>
        <w:rPr>
          <w:sz w:val="20"/>
          <w:szCs w:val="20"/>
          <w:color w:val="auto"/>
        </w:rPr>
      </w:pPr>
    </w:p>
    <w:p>
      <w:pPr>
        <w:ind w:firstLine="8"/>
        <w:spacing w:after="0" w:line="281" w:lineRule="auto"/>
        <w:tabs>
          <w:tab w:leader="none" w:pos="19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2" w:lineRule="exact"/>
        <w:rPr>
          <w:rFonts w:ascii="Times New Roman" w:cs="Times New Roman" w:eastAsia="Times New Roman" w:hAnsi="Times New Roman"/>
          <w:sz w:val="18"/>
          <w:szCs w:val="18"/>
          <w:color w:val="auto"/>
        </w:rPr>
      </w:pPr>
    </w:p>
    <w:p>
      <w:pPr>
        <w:ind w:firstLine="8"/>
        <w:spacing w:after="0" w:line="281" w:lineRule="auto"/>
        <w:tabs>
          <w:tab w:leader="none" w:pos="20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October 25, 2024</w:t>
      </w:r>
    </w:p>
    <w:p>
      <w:pPr>
        <w:spacing w:after="0" w:line="263" w:lineRule="exact"/>
        <w:rPr>
          <w:sz w:val="20"/>
          <w:szCs w:val="20"/>
          <w:color w:val="auto"/>
        </w:rPr>
      </w:pPr>
    </w:p>
    <w:p>
      <w:pPr>
        <w:ind w:left="5640"/>
        <w:spacing w:after="0"/>
        <w:tabs>
          <w:tab w:leader="none" w:pos="6200" w:val="left"/>
        </w:tabs>
        <w:rPr>
          <w:sz w:val="20"/>
          <w:szCs w:val="20"/>
          <w:color w:val="auto"/>
        </w:rPr>
      </w:pPr>
      <w:r>
        <w:rPr>
          <w:rFonts w:ascii="Times New Roman" w:cs="Times New Roman" w:eastAsia="Times New Roman" w:hAnsi="Times New Roman"/>
          <w:sz w:val="18"/>
          <w:szCs w:val="18"/>
          <w:i w:val="1"/>
          <w:iCs w:val="1"/>
          <w:color w:val="auto"/>
        </w:rPr>
        <w:t>By:</w:t>
      </w:r>
      <w:r>
        <w:rPr>
          <w:sz w:val="20"/>
          <w:szCs w:val="20"/>
          <w:color w:val="auto"/>
        </w:rPr>
        <w:tab/>
      </w:r>
      <w:r>
        <w:rPr>
          <w:rFonts w:ascii="Times New Roman" w:cs="Times New Roman" w:eastAsia="Times New Roman" w:hAnsi="Times New Roman"/>
          <w:sz w:val="18"/>
          <w:szCs w:val="18"/>
          <w:i w:val="1"/>
          <w:iCs w:val="1"/>
          <w:color w:val="auto"/>
        </w:rPr>
        <w:t>/s/ Jose A. Bayardo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3935095</wp:posOffset>
            </wp:positionH>
            <wp:positionV relativeFrom="paragraph">
              <wp:posOffset>27305</wp:posOffset>
            </wp:positionV>
            <wp:extent cx="3202305"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7">
                      <a:extLst>
                        <a:ext uri="{28A0092B-C50C-407E-A947-70E740481C1C}"/>
                      </a:extLst>
                    </a:blip>
                    <a:srcRect/>
                    <a:stretch>
                      <a:fillRect/>
                    </a:stretch>
                  </pic:blipFill>
                  <pic:spPr bwMode="auto">
                    <a:xfrm>
                      <a:off x="0" y="0"/>
                      <a:ext cx="3202305" cy="8255"/>
                    </a:xfrm>
                    <a:prstGeom prst="rect">
                      <a:avLst/>
                    </a:prstGeom>
                    <a:noFill/>
                  </pic:spPr>
                </pic:pic>
              </a:graphicData>
            </a:graphic>
          </wp:anchor>
        </w:drawing>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Jose A. Bayardo</w:t>
      </w:r>
    </w:p>
    <w:p>
      <w:pPr>
        <w:spacing w:after="0" w:line="36"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629285</wp:posOffset>
            </wp:positionV>
            <wp:extent cx="7157720" cy="4254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4" w:name="page35"/>
    <w:bookmarkEnd w:id="34"/>
    <w:p>
      <w:pPr>
        <w:ind w:left="10260"/>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NOV Inc. (the “Company”) on Form 10-Q for the period ending September 30, 2024 as filed with the Securities and Exchange Commission on the date hereof (the “Report”), the undersigned, Clay C. Williams, Chairman, President and Chief Executive Officer of the Company, hereby certifies, pursuant to 18 U.S.C. Section 1350, as adopted pursuant to Section 906 of the Sarbanes-Oxley Act of 2002, that:</w:t>
      </w:r>
    </w:p>
    <w:p>
      <w:pPr>
        <w:spacing w:after="0" w:line="177" w:lineRule="exact"/>
        <w:rPr>
          <w:sz w:val="20"/>
          <w:szCs w:val="20"/>
          <w:color w:val="auto"/>
        </w:rPr>
      </w:pPr>
    </w:p>
    <w:p>
      <w:pPr>
        <w:ind w:left="220" w:hanging="212"/>
        <w:spacing w:after="0"/>
        <w:tabs>
          <w:tab w:leader="none" w:pos="22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540" w:firstLine="8"/>
        <w:spacing w:after="0" w:line="522" w:lineRule="auto"/>
        <w:tabs>
          <w:tab w:leader="none" w:pos="2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The certification is given to the knowledge of the undersigned.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Clay C. Williams</w:t>
            </w:r>
          </w:p>
        </w:tc>
        <w:tc>
          <w:tcPr>
            <w:tcW w:w="5620" w:type="dxa"/>
            <w:vAlign w:val="bottom"/>
          </w:tcPr>
          <w:p>
            <w:pPr>
              <w:spacing w:after="0"/>
              <w:rPr>
                <w:sz w:val="21"/>
                <w:szCs w:val="21"/>
                <w:color w:val="auto"/>
              </w:rPr>
            </w:pPr>
          </w:p>
        </w:tc>
      </w:tr>
      <w:tr>
        <w:trPr>
          <w:trHeight w:val="22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Clay C. Williams</w:t>
            </w:r>
          </w:p>
        </w:tc>
        <w:tc>
          <w:tcPr>
            <w:tcW w:w="5620" w:type="dxa"/>
            <w:vAlign w:val="bottom"/>
          </w:tcPr>
          <w:p>
            <w:pPr>
              <w:spacing w:after="0"/>
              <w:rPr>
                <w:sz w:val="19"/>
                <w:szCs w:val="19"/>
                <w:color w:val="auto"/>
              </w:rPr>
            </w:pPr>
          </w:p>
        </w:tc>
      </w:tr>
      <w:tr>
        <w:trPr>
          <w:trHeight w:val="23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Chairman, President and Chief Executive Officer</w:t>
            </w:r>
          </w:p>
        </w:tc>
        <w:tc>
          <w:tcPr>
            <w:tcW w:w="5620" w:type="dxa"/>
            <w:vAlign w:val="bottom"/>
          </w:tcPr>
          <w:p>
            <w:pPr>
              <w:spacing w:after="0"/>
              <w:rPr>
                <w:sz w:val="20"/>
                <w:szCs w:val="20"/>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25, 2024</w:t>
            </w:r>
          </w:p>
        </w:tc>
        <w:tc>
          <w:tcPr>
            <w:tcW w:w="5620" w:type="dxa"/>
            <w:vAlign w:val="bottom"/>
          </w:tcPr>
          <w:p>
            <w:pPr>
              <w:spacing w:after="0"/>
              <w:rPr>
                <w:sz w:val="21"/>
                <w:szCs w:val="21"/>
                <w:color w:val="auto"/>
              </w:rPr>
            </w:pPr>
          </w:p>
        </w:tc>
      </w:tr>
      <w:tr>
        <w:trPr>
          <w:trHeight w:val="991"/>
        </w:trPr>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2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5" w:name="page36"/>
    <w:bookmarkEnd w:id="35"/>
    <w:p>
      <w:pPr>
        <w:ind w:left="10260"/>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 PURSUANT TO SECTION 906 OF THE SARBANES-OXLEY ACT OF 2002</w:t>
      </w:r>
    </w:p>
    <w:p>
      <w:pPr>
        <w:spacing w:after="0" w:line="22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In connection with the Quarterly Report of NOV Inc. (the “Company”) on Form 10-Q for the period ending September 30, 2024 as filed with the Securities and Exchange Commission on the date hereof (the “Report”), the undersigned, Jose A. Bayardo, Senior Vice President and Chief Financial Officer of the Company, hereby certifies, pursuant to 18 U.S.C. Section 1350, as adopted pursuant to Section 906 of the Sarbanes-Oxley Act of 2002, that:</w:t>
      </w:r>
    </w:p>
    <w:p>
      <w:pPr>
        <w:spacing w:after="0" w:line="177" w:lineRule="exact"/>
        <w:rPr>
          <w:sz w:val="20"/>
          <w:szCs w:val="20"/>
          <w:color w:val="auto"/>
        </w:rPr>
      </w:pPr>
    </w:p>
    <w:p>
      <w:pPr>
        <w:ind w:left="220" w:hanging="212"/>
        <w:spacing w:after="0"/>
        <w:tabs>
          <w:tab w:leader="none" w:pos="2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4" w:lineRule="exact"/>
        <w:rPr>
          <w:rFonts w:ascii="Times New Roman" w:cs="Times New Roman" w:eastAsia="Times New Roman" w:hAnsi="Times New Roman"/>
          <w:sz w:val="18"/>
          <w:szCs w:val="18"/>
          <w:color w:val="auto"/>
        </w:rPr>
      </w:pPr>
    </w:p>
    <w:p>
      <w:pPr>
        <w:ind w:right="540" w:firstLine="8"/>
        <w:spacing w:after="0" w:line="522" w:lineRule="auto"/>
        <w:tabs>
          <w:tab w:leader="none" w:pos="26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The certification is given to the knowledge of the undersigned.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i w:val="1"/>
                <w:iCs w:val="1"/>
                <w:color w:val="auto"/>
              </w:rPr>
              <w:t>By:</w:t>
            </w:r>
          </w:p>
        </w:tc>
        <w:tc>
          <w:tcPr>
            <w:tcW w:w="48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i w:val="1"/>
                <w:iCs w:val="1"/>
                <w:color w:val="auto"/>
              </w:rPr>
              <w:t>/s/ Jose A. Bayardo</w:t>
            </w:r>
          </w:p>
        </w:tc>
        <w:tc>
          <w:tcPr>
            <w:tcW w:w="5620" w:type="dxa"/>
            <w:vAlign w:val="bottom"/>
          </w:tcPr>
          <w:p>
            <w:pPr>
              <w:spacing w:after="0"/>
              <w:rPr>
                <w:sz w:val="21"/>
                <w:szCs w:val="21"/>
                <w:color w:val="auto"/>
              </w:rPr>
            </w:pPr>
          </w:p>
        </w:tc>
      </w:tr>
      <w:tr>
        <w:trPr>
          <w:trHeight w:val="22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Jose A. Bayardo</w:t>
            </w:r>
          </w:p>
        </w:tc>
        <w:tc>
          <w:tcPr>
            <w:tcW w:w="5620" w:type="dxa"/>
            <w:vAlign w:val="bottom"/>
          </w:tcPr>
          <w:p>
            <w:pPr>
              <w:spacing w:after="0"/>
              <w:rPr>
                <w:sz w:val="19"/>
                <w:szCs w:val="19"/>
                <w:color w:val="auto"/>
              </w:rPr>
            </w:pPr>
          </w:p>
        </w:tc>
      </w:tr>
      <w:tr>
        <w:trPr>
          <w:trHeight w:val="238"/>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tc>
        <w:tc>
          <w:tcPr>
            <w:tcW w:w="5620" w:type="dxa"/>
            <w:vAlign w:val="bottom"/>
          </w:tcPr>
          <w:p>
            <w:pPr>
              <w:spacing w:after="0"/>
              <w:rPr>
                <w:sz w:val="20"/>
                <w:szCs w:val="20"/>
                <w:color w:val="auto"/>
              </w:rPr>
            </w:pPr>
          </w:p>
        </w:tc>
      </w:tr>
      <w:tr>
        <w:trPr>
          <w:trHeight w:val="243"/>
        </w:trPr>
        <w:tc>
          <w:tcPr>
            <w:tcW w:w="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October 25, 2024</w:t>
            </w:r>
          </w:p>
        </w:tc>
        <w:tc>
          <w:tcPr>
            <w:tcW w:w="5620" w:type="dxa"/>
            <w:vAlign w:val="bottom"/>
          </w:tcPr>
          <w:p>
            <w:pPr>
              <w:spacing w:after="0"/>
              <w:rPr>
                <w:sz w:val="21"/>
                <w:szCs w:val="21"/>
                <w:color w:val="auto"/>
              </w:rPr>
            </w:pPr>
          </w:p>
        </w:tc>
      </w:tr>
      <w:tr>
        <w:trPr>
          <w:trHeight w:val="991"/>
        </w:trPr>
        <w:tc>
          <w:tcPr>
            <w:tcW w:w="760" w:type="dxa"/>
            <w:vAlign w:val="bottom"/>
            <w:tcBorders>
              <w:bottom w:val="single" w:sz="8" w:color="9A9A9A"/>
            </w:tcBorders>
          </w:tcPr>
          <w:p>
            <w:pPr>
              <w:spacing w:after="0"/>
              <w:rPr>
                <w:sz w:val="24"/>
                <w:szCs w:val="24"/>
                <w:color w:val="auto"/>
              </w:rPr>
            </w:pPr>
          </w:p>
        </w:tc>
        <w:tc>
          <w:tcPr>
            <w:tcW w:w="4860" w:type="dxa"/>
            <w:vAlign w:val="bottom"/>
            <w:tcBorders>
              <w:bottom w:val="single" w:sz="8" w:color="9A9A9A"/>
            </w:tcBorders>
          </w:tcPr>
          <w:p>
            <w:pPr>
              <w:spacing w:after="0"/>
              <w:rPr>
                <w:sz w:val="24"/>
                <w:szCs w:val="24"/>
                <w:color w:val="auto"/>
              </w:rPr>
            </w:pPr>
          </w:p>
        </w:tc>
        <w:tc>
          <w:tcPr>
            <w:tcW w:w="56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2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764" w:right="339" w:bottom="1440" w:gutter="0" w:footer="0" w:header="0"/>
        </w:sectPr>
      </w:pPr>
    </w:p>
    <w:bookmarkStart w:id="36" w:name="page37"/>
    <w:bookmarkEnd w:id="36"/>
    <w:p>
      <w:pPr>
        <w:ind w:left="10400"/>
        <w:spacing w:after="0"/>
        <w:rPr>
          <w:sz w:val="20"/>
          <w:szCs w:val="20"/>
          <w:color w:val="auto"/>
        </w:rPr>
      </w:pPr>
      <w:r>
        <w:rPr>
          <w:rFonts w:ascii="Times New Roman" w:cs="Times New Roman" w:eastAsia="Times New Roman" w:hAnsi="Times New Roman"/>
          <w:sz w:val="18"/>
          <w:szCs w:val="18"/>
          <w:b w:val="1"/>
          <w:bCs w:val="1"/>
          <w:color w:val="auto"/>
        </w:rPr>
        <w:t>Exhibit 95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Mine Safety Disclosures</w:t>
      </w:r>
    </w:p>
    <w:p>
      <w:pPr>
        <w:spacing w:after="0" w:line="117"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8"/>
          <w:szCs w:val="18"/>
          <w:color w:val="auto"/>
        </w:rPr>
        <w:t>Our mines are operated subject to the regulation of the Federal Mine Safety and Health Administration (“MSHA”), under the Federal Mine Safety and Health Act of 1977 (the “Mine Act”). The following mine safety data is provided pursuant to the Dodd-Frank Wall Street Reform and Consumer Protection Act (the “Dodd-Frank Act”).</w:t>
      </w:r>
    </w:p>
    <w:p>
      <w:pPr>
        <w:spacing w:after="0" w:line="177" w:lineRule="exact"/>
        <w:rPr>
          <w:sz w:val="20"/>
          <w:szCs w:val="20"/>
          <w:color w:val="auto"/>
        </w:rPr>
      </w:pPr>
    </w:p>
    <w:p>
      <w:pPr>
        <w:ind w:right="320"/>
        <w:spacing w:after="0" w:line="281" w:lineRule="auto"/>
        <w:rPr>
          <w:sz w:val="20"/>
          <w:szCs w:val="20"/>
          <w:color w:val="auto"/>
        </w:rPr>
      </w:pPr>
      <w:r>
        <w:rPr>
          <w:rFonts w:ascii="Times New Roman" w:cs="Times New Roman" w:eastAsia="Times New Roman" w:hAnsi="Times New Roman"/>
          <w:sz w:val="18"/>
          <w:szCs w:val="18"/>
          <w:color w:val="auto"/>
        </w:rPr>
        <w:t>As required by the reporting requirements of the Dodd-Frank Act, as amended, the table below presents the following information for the quarter ended September 30, 2024. (in whole dollars) (Unaudited)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Received</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Received</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Notice of</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Legal</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Notice of</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Potential</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Actions</w:t>
            </w: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3"/>
              </w:rPr>
              <w:t>Total Dollar</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Total</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Pattern of</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to have</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Pending</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Legal</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Legal</w:t>
            </w: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Section</w:t>
            </w: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104(d)</w:t>
            </w: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Times New Roman" w:cs="Times New Roman" w:eastAsia="Times New Roman" w:hAnsi="Times New Roman"/>
                <w:sz w:val="13"/>
                <w:szCs w:val="13"/>
                <w:b w:val="1"/>
                <w:bCs w:val="1"/>
                <w:color w:val="auto"/>
                <w:w w:val="94"/>
              </w:rPr>
              <w:t>Value of</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Number</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Violations</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Patterns</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rPr>
              <w:t>as of</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Actions</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Actions</w:t>
            </w:r>
          </w:p>
        </w:tc>
      </w:tr>
      <w:tr>
        <w:trPr>
          <w:trHeight w:val="162"/>
        </w:trPr>
        <w:tc>
          <w:tcPr>
            <w:tcW w:w="1720" w:type="dxa"/>
            <w:vAlign w:val="bottom"/>
          </w:tcPr>
          <w:p>
            <w:pPr>
              <w:spacing w:after="0"/>
              <w:rPr>
                <w:sz w:val="14"/>
                <w:szCs w:val="14"/>
                <w:color w:val="auto"/>
              </w:rPr>
            </w:pPr>
          </w:p>
        </w:tc>
        <w:tc>
          <w:tcPr>
            <w:tcW w:w="780" w:type="dxa"/>
            <w:vAlign w:val="bottom"/>
            <w:gridSpan w:val="2"/>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2"/>
              </w:rPr>
              <w:t>104</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Citations</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MSHA</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of Mining</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Under</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Last</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Initiated</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Resolved</w:t>
            </w:r>
          </w:p>
        </w:tc>
      </w:tr>
      <w:tr>
        <w:trPr>
          <w:trHeight w:val="162"/>
        </w:trPr>
        <w:tc>
          <w:tcPr>
            <w:tcW w:w="1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S&amp;S</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104(b)</w:t>
            </w:r>
          </w:p>
        </w:tc>
        <w:tc>
          <w:tcPr>
            <w:tcW w:w="1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and</w:t>
            </w:r>
          </w:p>
        </w:tc>
        <w:tc>
          <w:tcPr>
            <w:tcW w:w="120" w:type="dxa"/>
            <w:vAlign w:val="bottom"/>
          </w:tcPr>
          <w:p>
            <w:pPr>
              <w:spacing w:after="0"/>
              <w:rPr>
                <w:sz w:val="14"/>
                <w:szCs w:val="14"/>
                <w:color w:val="auto"/>
              </w:rPr>
            </w:pPr>
          </w:p>
        </w:tc>
        <w:tc>
          <w:tcPr>
            <w:tcW w:w="7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110(b)(2)</w:t>
            </w:r>
          </w:p>
        </w:tc>
        <w:tc>
          <w:tcPr>
            <w:tcW w:w="14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107(a)</w:t>
            </w:r>
          </w:p>
        </w:tc>
        <w:tc>
          <w:tcPr>
            <w:tcW w:w="100" w:type="dxa"/>
            <w:vAlign w:val="bottom"/>
          </w:tcPr>
          <w:p>
            <w:pPr>
              <w:spacing w:after="0"/>
              <w:rPr>
                <w:sz w:val="14"/>
                <w:szCs w:val="14"/>
                <w:color w:val="auto"/>
              </w:rPr>
            </w:pPr>
          </w:p>
        </w:tc>
        <w:tc>
          <w:tcPr>
            <w:tcW w:w="80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Assessments</w:t>
            </w:r>
          </w:p>
        </w:tc>
        <w:tc>
          <w:tcPr>
            <w:tcW w:w="22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Related</w:t>
            </w:r>
          </w:p>
        </w:tc>
        <w:tc>
          <w:tcPr>
            <w:tcW w:w="120" w:type="dxa"/>
            <w:vAlign w:val="bottom"/>
          </w:tcPr>
          <w:p>
            <w:pPr>
              <w:spacing w:after="0"/>
              <w:rPr>
                <w:sz w:val="14"/>
                <w:szCs w:val="14"/>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Section</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Section</w:t>
            </w: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3"/>
              </w:rPr>
              <w:t>Day of</w:t>
            </w:r>
          </w:p>
        </w:tc>
        <w:tc>
          <w:tcPr>
            <w:tcW w:w="10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During</w:t>
            </w:r>
          </w:p>
        </w:tc>
        <w:tc>
          <w:tcPr>
            <w:tcW w:w="12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During</w:t>
            </w:r>
          </w:p>
        </w:tc>
      </w:tr>
      <w:tr>
        <w:trPr>
          <w:trHeight w:val="166"/>
        </w:trPr>
        <w:tc>
          <w:tcPr>
            <w:tcW w:w="17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Mine</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Citations</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Orders</w:t>
            </w:r>
          </w:p>
        </w:tc>
        <w:tc>
          <w:tcPr>
            <w:tcW w:w="1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Orders</w:t>
            </w:r>
          </w:p>
        </w:tc>
        <w:tc>
          <w:tcPr>
            <w:tcW w:w="12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Violations</w:t>
            </w:r>
          </w:p>
        </w:tc>
        <w:tc>
          <w:tcPr>
            <w:tcW w:w="14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Orders</w:t>
            </w: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Proposed</w:t>
            </w:r>
          </w:p>
        </w:tc>
        <w:tc>
          <w:tcPr>
            <w:tcW w:w="22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Fatalities</w:t>
            </w:r>
          </w:p>
        </w:tc>
        <w:tc>
          <w:tcPr>
            <w:tcW w:w="120" w:type="dxa"/>
            <w:vAlign w:val="bottom"/>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104(e)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rPr>
              <w:t>104(e)</w:t>
            </w:r>
          </w:p>
        </w:tc>
        <w:tc>
          <w:tcPr>
            <w:tcW w:w="100" w:type="dxa"/>
            <w:vAlign w:val="bottom"/>
          </w:tcPr>
          <w:p>
            <w:pPr>
              <w:spacing w:after="0"/>
              <w:rPr>
                <w:sz w:val="14"/>
                <w:szCs w:val="14"/>
                <w:color w:val="auto"/>
              </w:rPr>
            </w:pPr>
          </w:p>
        </w:tc>
        <w:tc>
          <w:tcPr>
            <w:tcW w:w="6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100" w:type="dxa"/>
            <w:vAlign w:val="bottom"/>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c>
          <w:tcPr>
            <w:tcW w:w="1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Period</w:t>
            </w:r>
          </w:p>
        </w:tc>
      </w:tr>
      <w:tr>
        <w:trPr>
          <w:trHeight w:val="160"/>
        </w:trPr>
        <w:tc>
          <w:tcPr>
            <w:tcW w:w="1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Dry Creek (26-02646)</w:t>
            </w: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70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76"/>
              </w:rPr>
              <w:t>—</w:t>
            </w:r>
          </w:p>
        </w:tc>
        <w:tc>
          <w:tcPr>
            <w:tcW w:w="14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720" w:type="dxa"/>
            <w:vAlign w:val="bottom"/>
          </w:tcPr>
          <w:p>
            <w:pPr>
              <w:ind w:left="580"/>
              <w:spacing w:after="0"/>
              <w:rPr>
                <w:sz w:val="20"/>
                <w:szCs w:val="20"/>
                <w:color w:val="auto"/>
              </w:rPr>
            </w:pPr>
            <w:r>
              <w:rPr>
                <w:rFonts w:ascii="Times New Roman" w:cs="Times New Roman" w:eastAsia="Times New Roman" w:hAnsi="Times New Roman"/>
                <w:sz w:val="13"/>
                <w:szCs w:val="13"/>
                <w:color w:val="auto"/>
                <w:w w:val="91"/>
              </w:rPr>
              <w:t>—</w:t>
            </w:r>
          </w:p>
        </w:tc>
        <w:tc>
          <w:tcPr>
            <w:tcW w:w="22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80" w:type="dxa"/>
            <w:vAlign w:val="bottom"/>
          </w:tcPr>
          <w:p>
            <w:pPr>
              <w:ind w:left="540"/>
              <w:spacing w:after="0"/>
              <w:rPr>
                <w:sz w:val="20"/>
                <w:szCs w:val="20"/>
                <w:color w:val="auto"/>
              </w:rPr>
            </w:pPr>
            <w:r>
              <w:rPr>
                <w:rFonts w:ascii="Times New Roman" w:cs="Times New Roman" w:eastAsia="Times New Roman" w:hAnsi="Times New Roman"/>
                <w:sz w:val="13"/>
                <w:szCs w:val="13"/>
                <w:color w:val="auto"/>
                <w:w w:val="91"/>
              </w:rPr>
              <w:t>no</w:t>
            </w:r>
          </w:p>
        </w:tc>
        <w:tc>
          <w:tcPr>
            <w:tcW w:w="10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no</w:t>
            </w:r>
          </w:p>
        </w:tc>
        <w:tc>
          <w:tcPr>
            <w:tcW w:w="100" w:type="dxa"/>
            <w:vAlign w:val="bottom"/>
          </w:tcPr>
          <w:p>
            <w:pPr>
              <w:spacing w:after="0"/>
              <w:rPr>
                <w:sz w:val="13"/>
                <w:szCs w:val="13"/>
                <w:color w:val="auto"/>
              </w:rPr>
            </w:pPr>
          </w:p>
        </w:tc>
        <w:tc>
          <w:tcPr>
            <w:tcW w:w="660" w:type="dxa"/>
            <w:vAlign w:val="bottom"/>
          </w:tcPr>
          <w:p>
            <w:pPr>
              <w:ind w:left="520"/>
              <w:spacing w:after="0"/>
              <w:rPr>
                <w:sz w:val="20"/>
                <w:szCs w:val="20"/>
                <w:color w:val="auto"/>
              </w:rPr>
            </w:pPr>
            <w:r>
              <w:rPr>
                <w:rFonts w:ascii="Times New Roman" w:cs="Times New Roman" w:eastAsia="Times New Roman" w:hAnsi="Times New Roman"/>
                <w:sz w:val="13"/>
                <w:szCs w:val="13"/>
                <w:color w:val="auto"/>
                <w:w w:val="91"/>
              </w:rPr>
              <w:t>—</w:t>
            </w:r>
          </w:p>
        </w:tc>
        <w:tc>
          <w:tcPr>
            <w:tcW w:w="100" w:type="dxa"/>
            <w:vAlign w:val="bottom"/>
          </w:tcPr>
          <w:p>
            <w:pPr>
              <w:spacing w:after="0"/>
              <w:rPr>
                <w:sz w:val="13"/>
                <w:szCs w:val="13"/>
                <w:color w:val="auto"/>
              </w:rPr>
            </w:pPr>
          </w:p>
        </w:tc>
        <w:tc>
          <w:tcPr>
            <w:tcW w:w="640" w:type="dxa"/>
            <w:vAlign w:val="bottom"/>
          </w:tcPr>
          <w:p>
            <w:pPr>
              <w:ind w:left="500"/>
              <w:spacing w:after="0"/>
              <w:rPr>
                <w:sz w:val="20"/>
                <w:szCs w:val="20"/>
                <w:color w:val="auto"/>
              </w:rPr>
            </w:pPr>
            <w:r>
              <w:rPr>
                <w:rFonts w:ascii="Times New Roman" w:cs="Times New Roman" w:eastAsia="Times New Roman" w:hAnsi="Times New Roman"/>
                <w:sz w:val="13"/>
                <w:szCs w:val="13"/>
                <w:color w:val="auto"/>
                <w:w w:val="91"/>
              </w:rPr>
              <w:t>—</w:t>
            </w:r>
          </w:p>
        </w:tc>
        <w:tc>
          <w:tcPr>
            <w:tcW w:w="120" w:type="dxa"/>
            <w:vAlign w:val="bottom"/>
          </w:tcPr>
          <w:p>
            <w:pPr>
              <w:spacing w:after="0"/>
              <w:rPr>
                <w:sz w:val="13"/>
                <w:szCs w:val="13"/>
                <w:color w:val="auto"/>
              </w:rPr>
            </w:pP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auto"/>
                <w:w w:val="91"/>
              </w:rPr>
              <w:t>—</w:t>
            </w:r>
          </w:p>
        </w:tc>
      </w:tr>
    </w:tbl>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FFFFFF"/>
        </w:rPr>
        <w:t>Includes legal actions initiated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929005</wp:posOffset>
            </wp:positionV>
            <wp:extent cx="7157720" cy="4254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7" w:right="339" w:bottom="1440" w:gutter="0" w:footer="0" w:header="0"/>
        </w:sectPr>
      </w:pPr>
    </w:p>
    <w:bookmarkStart w:id="37" w:name="page38"/>
    <w:bookmarkEnd w:id="37"/>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4"/>
    </w:lvl>
  </w:abstractNum>
  <w:abstractNum w:abstractNumId="4">
    <w:nsid w:val="109CF92E"/>
    <w:multiLevelType w:val="hybridMultilevel"/>
    <w:lvl w:ilvl="0">
      <w:lvlJc w:val="left"/>
      <w:lvlText w:val="%1."/>
      <w:numFmt w:val="decimal"/>
      <w:start w:val="5"/>
    </w:lvl>
  </w:abstractNum>
  <w:abstractNum w:abstractNumId="5">
    <w:nsid w:val="DED7263"/>
    <w:multiLevelType w:val="hybridMultilevel"/>
    <w:lvl w:ilvl="0">
      <w:lvlJc w:val="left"/>
      <w:lvlText w:val="%1."/>
      <w:numFmt w:val="decimal"/>
      <w:start w:val="6"/>
    </w:lvl>
  </w:abstractNum>
  <w:abstractNum w:abstractNumId="6">
    <w:nsid w:val="7FDCC233"/>
    <w:multiLevelType w:val="hybridMultilevel"/>
    <w:lvl w:ilvl="0">
      <w:lvlJc w:val="left"/>
      <w:lvlText w:val="%1."/>
      <w:numFmt w:val="decimal"/>
      <w:start w:val="7"/>
    </w:lvl>
  </w:abstractNum>
  <w:abstractNum w:abstractNumId="7">
    <w:nsid w:val="1BEFD79F"/>
    <w:multiLevelType w:val="hybridMultilevel"/>
    <w:lvl w:ilvl="0">
      <w:lvlJc w:val="left"/>
      <w:lvlText w:val="%1."/>
      <w:numFmt w:val="decimal"/>
      <w:start w:val="8"/>
    </w:lvl>
  </w:abstractNum>
  <w:abstractNum w:abstractNumId="8">
    <w:nsid w:val="41A7C4C9"/>
    <w:multiLevelType w:val="hybridMultilevel"/>
    <w:lvl w:ilvl="0">
      <w:lvlJc w:val="left"/>
      <w:lvlText w:val="•"/>
      <w:numFmt w:val="bullet"/>
      <w:start w:val="1"/>
    </w:lvl>
  </w:abstractNum>
  <w:abstractNum w:abstractNumId="9">
    <w:nsid w:val="6B68079A"/>
    <w:multiLevelType w:val="hybridMultilevel"/>
    <w:lvl w:ilvl="0">
      <w:lvlJc w:val="left"/>
      <w:lvlText w:val="%1"/>
      <w:numFmt w:val="decimal"/>
      <w:start w:val="95"/>
    </w:lvl>
  </w:abstractNum>
  <w:abstractNum w:abstractNumId="10">
    <w:nsid w:val="4E6AFB66"/>
    <w:multiLevelType w:val="hybridMultilevel"/>
    <w:lvl w:ilvl="0">
      <w:lvlJc w:val="left"/>
      <w:lvlText w:val="*"/>
      <w:numFmt w:val="bullet"/>
      <w:start w:val="1"/>
    </w:lvl>
    <w:lvl w:ilvl="1">
      <w:lvlJc w:val="left"/>
      <w:lvlText w:val="%2"/>
      <w:numFmt w:val="decimal"/>
      <w:start w:val="104"/>
    </w:lvl>
  </w:abstractNum>
  <w:abstractNum w:abstractNumId="11">
    <w:nsid w:val="25E45D32"/>
    <w:multiLevelType w:val="hybridMultilevel"/>
    <w:lvl w:ilvl="0">
      <w:lvlJc w:val="left"/>
      <w:lvlText w:val="(%1)"/>
      <w:numFmt w:val="decimal"/>
      <w:start w:val="1"/>
    </w:lvl>
  </w:abstractNum>
  <w:abstractNum w:abstractNumId="12">
    <w:nsid w:val="519B500D"/>
    <w:multiLevelType w:val="hybridMultilevel"/>
    <w:lvl w:ilvl="0">
      <w:lvlJc w:val="left"/>
      <w:lvlText w:val="%1."/>
      <w:numFmt w:val="decimal"/>
      <w:start w:val="1"/>
    </w:lvl>
  </w:abstractNum>
  <w:abstractNum w:abstractNumId="13">
    <w:nsid w:val="431BD7B7"/>
    <w:multiLevelType w:val="hybridMultilevel"/>
    <w:lvl w:ilvl="0">
      <w:lvlJc w:val="left"/>
      <w:lvlText w:val="%1)"/>
      <w:numFmt w:val="lowerLetter"/>
      <w:start w:val="1"/>
    </w:lvl>
  </w:abstractNum>
  <w:abstractNum w:abstractNumId="14">
    <w:nsid w:val="3F2DBA31"/>
    <w:multiLevelType w:val="hybridMultilevel"/>
    <w:lvl w:ilvl="0">
      <w:lvlJc w:val="left"/>
      <w:lvlText w:val="%1."/>
      <w:numFmt w:val="decimal"/>
      <w:start w:val="5"/>
    </w:lvl>
  </w:abstractNum>
  <w:abstractNum w:abstractNumId="15">
    <w:nsid w:val="7C83E458"/>
    <w:multiLevelType w:val="hybridMultilevel"/>
    <w:lvl w:ilvl="0">
      <w:lvlJc w:val="left"/>
      <w:lvlText w:val="%1)"/>
      <w:numFmt w:val="lowerLetter"/>
      <w:start w:val="1"/>
    </w:lvl>
  </w:abstractNum>
  <w:abstractNum w:abstractNumId="16">
    <w:nsid w:val="257130A3"/>
    <w:multiLevelType w:val="hybridMultilevel"/>
    <w:lvl w:ilvl="0">
      <w:lvlJc w:val="left"/>
      <w:lvlText w:val="%1."/>
      <w:numFmt w:val="decimal"/>
      <w:start w:val="1"/>
    </w:lvl>
  </w:abstractNum>
  <w:abstractNum w:abstractNumId="17">
    <w:nsid w:val="62BBD95A"/>
    <w:multiLevelType w:val="hybridMultilevel"/>
    <w:lvl w:ilvl="0">
      <w:lvlJc w:val="left"/>
      <w:lvlText w:val="%1)"/>
      <w:numFmt w:val="lowerLetter"/>
      <w:start w:val="1"/>
    </w:lvl>
  </w:abstractNum>
  <w:abstractNum w:abstractNumId="18">
    <w:nsid w:val="436C6125"/>
    <w:multiLevelType w:val="hybridMultilevel"/>
    <w:lvl w:ilvl="0">
      <w:lvlJc w:val="left"/>
      <w:lvlText w:val="%1."/>
      <w:numFmt w:val="decimal"/>
      <w:start w:val="5"/>
    </w:lvl>
  </w:abstractNum>
  <w:abstractNum w:abstractNumId="19">
    <w:nsid w:val="628C895D"/>
    <w:multiLevelType w:val="hybridMultilevel"/>
    <w:lvl w:ilvl="0">
      <w:lvlJc w:val="left"/>
      <w:lvlText w:val="%1)"/>
      <w:numFmt w:val="lowerLetter"/>
      <w:start w:val="1"/>
    </w:lvl>
  </w:abstractNum>
  <w:abstractNum w:abstractNumId="20">
    <w:nsid w:val="333AB105"/>
    <w:multiLevelType w:val="hybridMultilevel"/>
    <w:lvl w:ilvl="0">
      <w:lvlJc w:val="left"/>
      <w:lvlText w:val="(%1)"/>
      <w:numFmt w:val="lowerRoman"/>
      <w:start w:val="1"/>
    </w:lvl>
  </w:abstractNum>
  <w:abstractNum w:abstractNumId="21">
    <w:nsid w:val="721DA317"/>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jpe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414" Type="http://schemas.openxmlformats.org/officeDocument/2006/relationships/image" Target="media/image404.png"/><Relationship Id="rId415" Type="http://schemas.openxmlformats.org/officeDocument/2006/relationships/image" Target="media/image405.png"/><Relationship Id="rId416" Type="http://schemas.openxmlformats.org/officeDocument/2006/relationships/image" Target="media/image406.png"/><Relationship Id="rId417" Type="http://schemas.openxmlformats.org/officeDocument/2006/relationships/image" Target="media/image407.png"/><Relationship Id="rId418" Type="http://schemas.openxmlformats.org/officeDocument/2006/relationships/image" Target="media/image408.png"/><Relationship Id="rId419" Type="http://schemas.openxmlformats.org/officeDocument/2006/relationships/image" Target="media/image409.png"/><Relationship Id="rId420" Type="http://schemas.openxmlformats.org/officeDocument/2006/relationships/image" Target="media/image410.png"/><Relationship Id="rId421" Type="http://schemas.openxmlformats.org/officeDocument/2006/relationships/image" Target="media/image411.png"/><Relationship Id="rId422" Type="http://schemas.openxmlformats.org/officeDocument/2006/relationships/image" Target="media/image412.png"/><Relationship Id="rId423" Type="http://schemas.openxmlformats.org/officeDocument/2006/relationships/image" Target="media/image413.png"/><Relationship Id="rId407" Type="http://schemas.openxmlformats.org/officeDocument/2006/relationships/hyperlink" Target="https://www.sec.gov/Archives/edgar/data/1021860/000119312523148208/d460588dex31.htm" TargetMode="External"/><Relationship Id="rId408" Type="http://schemas.openxmlformats.org/officeDocument/2006/relationships/hyperlink" Target="https://www.sec.gov/Archives/edgar/data/1021860/000119312523053963/d443168dex31.htm" TargetMode="External"/><Relationship Id="rId409" Type="http://schemas.openxmlformats.org/officeDocument/2006/relationships/hyperlink" Target="https://www.sec.gov/Archives/edgar/data/1021860/000119312524217980/d86189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2024-10-25T12:14:04Z</dcterms:created>
  <dcterms:modified xsi:type="dcterms:W3CDTF">2024-10-25T12:14:04Z</dcterms:modified>
</cp:coreProperties>
</file>