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NOV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27,180,076.11</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30,685,871.42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30,685,871.42</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GLOBAL FUND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20,721,564.00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20,721,564.00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20,721,564.00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NOV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10353 RICHMOND AVE., HOUSTON, US-TX, 77036, US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Eagle Investment Management, LLC, FIRST EAGLE GLOBAL FUND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1345 Avenue of the Americas, New York, NY 10105 United States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30,685,871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27,180,076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30,685,871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Securities reported on this Schedule 13G as being beneficially owned by First Eagle Investment Management, LLC are held by or at the direction of First Eagle Investment Management, LLC and/or one or more of its investment adviser subsidiaries, which may include First Eagle Separate Account Management, LLC, principally on behalf of investment advisory clients, which may include investment companies registered under the Investment Company Act, employee benefit plans, pension funds, other institutional clients, or separate accounts, but sometimes for its own account. First Eagle Investment Management, LLC (FEIM), an investment adviser registered under Section 203 of the Investment Advisers Act of 1940, is deemed to be the beneficial owner of 30,685,871.42 shares, or 8.55% of the common stock believed to be outstanding as a result of acting as investment adviser to various clients. Clients of FEIM have the right to receive and the ultimate power to direct the receipt of dividends from, or the proceeds of the sale of, such securities. The First Eagle Global Fund, a registered investment company for which FEIM acts as investment adviser, may be deemed to beneficially own 2,421,533 of these 30,685,871.42 shares, or 5.77% of the Company's Common Stock.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First Eagle Investment Management,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FIRST EAGLE GLOBAL FUND</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1138</Words>
  <Characters>5912</Characters>
  <CharactersWithSpaces>7023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