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55880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96520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00" w:right="100" w:hanging="592"/>
        <w:spacing w:after="0" w:line="237" w:lineRule="auto"/>
        <w:tabs>
          <w:tab w:leader="none" w:pos="60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2026</w:t>
      </w:r>
    </w:p>
    <w:p>
      <w:pPr>
        <w:spacing w:after="0" w:line="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81" w:lineRule="exact"/>
        <w:rPr>
          <w:sz w:val="24"/>
          <w:szCs w:val="24"/>
          <w:color w:val="auto"/>
        </w:rPr>
      </w:pPr>
    </w:p>
    <w:p>
      <w:pPr>
        <w:ind w:left="600" w:right="120" w:hanging="592"/>
        <w:spacing w:after="0" w:line="262" w:lineRule="auto"/>
        <w:tabs>
          <w:tab w:leader="none" w:pos="60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b w:val="1"/>
          <w:bCs w:val="1"/>
          <w:u w:val="single" w:color="auto"/>
          <w:color w:val="auto"/>
        </w:rPr>
        <w:t>mmission File Number 1-123</w:t>
      </w:r>
      <w:r>
        <w:rPr>
          <w:rFonts w:ascii="Times New Roman" w:cs="Times New Roman" w:eastAsia="Times New Roman" w:hAnsi="Times New Roman"/>
          <w:sz w:val="18"/>
          <w:szCs w:val="18"/>
          <w:b w:val="1"/>
          <w:bCs w:val="1"/>
          <w:color w:val="auto"/>
        </w:rPr>
        <w:t>17</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NOV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w:t>
      </w:r>
      <w:r>
        <w:rPr>
          <w:rFonts w:ascii="Times New Roman" w:cs="Times New Roman" w:eastAsia="Times New Roman" w:hAnsi="Times New Roman"/>
          <w:sz w:val="18"/>
          <w:szCs w:val="18"/>
          <w:b w:val="1"/>
          <w:bCs w:val="1"/>
          <w:u w:val="single" w:color="auto"/>
          <w:color w:val="auto"/>
        </w:rPr>
        <w:t>e of registrant as specified in</w:t>
      </w:r>
      <w:r>
        <w:rPr>
          <w:rFonts w:ascii="Times New Roman" w:cs="Times New Roman" w:eastAsia="Times New Roman" w:hAnsi="Times New Roman"/>
          <w:sz w:val="18"/>
          <w:szCs w:val="18"/>
          <w:b w:val="1"/>
          <w:bCs w:val="1"/>
          <w:color w:val="auto"/>
        </w:rPr>
        <w:t xml:space="preserve"> its charter)</w:t>
      </w:r>
    </w:p>
    <w:p>
      <w:pPr>
        <w:spacing w:after="0" w:line="174"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3360" w:type="dxa"/>
            <w:vAlign w:val="bottom"/>
          </w:tcPr>
          <w:p>
            <w:pPr>
              <w:jc w:val="center"/>
              <w:ind w:left="2144"/>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jc w:val="center"/>
              <w:ind w:right="2024"/>
              <w:spacing w:after="0"/>
              <w:rPr>
                <w:sz w:val="20"/>
                <w:szCs w:val="20"/>
                <w:color w:val="auto"/>
              </w:rPr>
            </w:pPr>
            <w:r>
              <w:rPr>
                <w:rFonts w:ascii="Times New Roman" w:cs="Times New Roman" w:eastAsia="Times New Roman" w:hAnsi="Times New Roman"/>
                <w:sz w:val="18"/>
                <w:szCs w:val="18"/>
                <w:b w:val="1"/>
                <w:bCs w:val="1"/>
                <w:color w:val="auto"/>
                <w:w w:val="98"/>
              </w:rPr>
              <w:t>76-0475815</w:t>
            </w:r>
          </w:p>
        </w:tc>
      </w:tr>
      <w:tr>
        <w:trPr>
          <w:trHeight w:val="149"/>
        </w:trPr>
        <w:tc>
          <w:tcPr>
            <w:tcW w:w="7800" w:type="dxa"/>
            <w:vAlign w:val="bottom"/>
            <w:gridSpan w:val="6"/>
          </w:tcPr>
          <w:p>
            <w:pPr>
              <w:jc w:val="center"/>
              <w:ind w:right="2220"/>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40" w:type="dxa"/>
            <w:vAlign w:val="bottom"/>
          </w:tcPr>
          <w:p>
            <w:pPr>
              <w:jc w:val="center"/>
              <w:ind w:right="20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7800" w:type="dxa"/>
            <w:vAlign w:val="bottom"/>
            <w:gridSpan w:val="6"/>
          </w:tcPr>
          <w:p>
            <w:pPr>
              <w:jc w:val="center"/>
              <w:ind w:right="222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40" w:type="dxa"/>
            <w:vAlign w:val="bottom"/>
          </w:tcPr>
          <w:p>
            <w:pPr>
              <w:jc w:val="center"/>
              <w:ind w:right="20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58"/>
        </w:trPr>
        <w:tc>
          <w:tcPr>
            <w:tcW w:w="33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9"/>
              </w:rPr>
              <w:t>10353 Richmond Avenue</w:t>
            </w:r>
          </w:p>
        </w:tc>
        <w:tc>
          <w:tcPr>
            <w:tcW w:w="3440" w:type="dxa"/>
            <w:vAlign w:val="bottom"/>
          </w:tcPr>
          <w:p>
            <w:pPr>
              <w:spacing w:after="0"/>
              <w:rPr>
                <w:sz w:val="22"/>
                <w:szCs w:val="22"/>
                <w:color w:val="auto"/>
              </w:rPr>
            </w:pPr>
          </w:p>
        </w:tc>
      </w:tr>
      <w:tr>
        <w:trPr>
          <w:trHeight w:val="216"/>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rPr>
              <w:t>Houston, Texas</w:t>
            </w:r>
          </w:p>
        </w:tc>
        <w:tc>
          <w:tcPr>
            <w:tcW w:w="3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38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77042-4103</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40" w:type="dxa"/>
            <w:vAlign w:val="bottom"/>
            <w:gridSpan w:val="4"/>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40" w:type="dxa"/>
            <w:vAlign w:val="bottom"/>
          </w:tcPr>
          <w:p>
            <w:pPr>
              <w:spacing w:after="0"/>
              <w:rPr>
                <w:sz w:val="20"/>
                <w:szCs w:val="20"/>
                <w:color w:val="auto"/>
              </w:rPr>
            </w:pPr>
          </w:p>
        </w:tc>
      </w:tr>
      <w:tr>
        <w:trPr>
          <w:trHeight w:val="342"/>
        </w:trPr>
        <w:tc>
          <w:tcPr>
            <w:tcW w:w="3360" w:type="dxa"/>
            <w:vAlign w:val="bottom"/>
          </w:tcPr>
          <w:p>
            <w:pPr>
              <w:spacing w:after="0"/>
              <w:rPr>
                <w:sz w:val="24"/>
                <w:szCs w:val="24"/>
                <w:color w:val="auto"/>
              </w:rPr>
            </w:pPr>
          </w:p>
        </w:tc>
        <w:tc>
          <w:tcPr>
            <w:tcW w:w="3380" w:type="dxa"/>
            <w:vAlign w:val="bottom"/>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(346) 223-3000</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3360" w:type="dxa"/>
            <w:vAlign w:val="bottom"/>
          </w:tcPr>
          <w:p>
            <w:pPr>
              <w:spacing w:after="0"/>
              <w:rPr>
                <w:sz w:val="20"/>
                <w:szCs w:val="20"/>
                <w:color w:val="auto"/>
              </w:rPr>
            </w:pPr>
          </w:p>
        </w:tc>
        <w:tc>
          <w:tcPr>
            <w:tcW w:w="44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4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04"/>
        </w:trPr>
        <w:tc>
          <w:tcPr>
            <w:tcW w:w="3360" w:type="dxa"/>
            <w:vAlign w:val="bottom"/>
          </w:tcPr>
          <w:p>
            <w:pPr>
              <w:spacing w:after="0"/>
              <w:rPr>
                <w:sz w:val="24"/>
                <w:szCs w:val="24"/>
                <w:color w:val="auto"/>
              </w:rPr>
            </w:pPr>
          </w:p>
        </w:tc>
        <w:tc>
          <w:tcPr>
            <w:tcW w:w="44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40" w:type="dxa"/>
            <w:vAlign w:val="bottom"/>
          </w:tcPr>
          <w:p>
            <w:pPr>
              <w:spacing w:after="0"/>
              <w:rPr>
                <w:sz w:val="24"/>
                <w:szCs w:val="24"/>
                <w:color w:val="auto"/>
              </w:rPr>
            </w:pPr>
          </w:p>
        </w:tc>
      </w:tr>
      <w:tr>
        <w:trPr>
          <w:trHeight w:val="78"/>
        </w:trPr>
        <w:tc>
          <w:tcPr>
            <w:tcW w:w="3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00" w:type="dxa"/>
            <w:vAlign w:val="bottom"/>
            <w:tcBorders>
              <w:bottom w:val="single" w:sz="8" w:color="auto"/>
            </w:tcBorders>
            <w:gridSpan w:val="2"/>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r>
      <w:tr>
        <w:trPr>
          <w:trHeight w:val="216"/>
        </w:trPr>
        <w:tc>
          <w:tcPr>
            <w:tcW w:w="3360" w:type="dxa"/>
            <w:vAlign w:val="bottom"/>
            <w:tcBorders>
              <w:left w:val="single" w:sz="8" w:color="auto"/>
            </w:tcBorders>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00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00" w:type="dxa"/>
            <w:vAlign w:val="bottom"/>
          </w:tcPr>
          <w:p>
            <w:pPr>
              <w:spacing w:after="0"/>
              <w:rPr>
                <w:sz w:val="18"/>
                <w:szCs w:val="18"/>
                <w:color w:val="auto"/>
              </w:rPr>
            </w:pPr>
          </w:p>
        </w:tc>
        <w:tc>
          <w:tcPr>
            <w:tcW w:w="3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7"/>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00" w:type="dxa"/>
            <w:vAlign w:val="bottom"/>
            <w:tcBorders>
              <w:bottom w:val="single" w:sz="8" w:color="auto"/>
              <w:right w:val="single" w:sz="8" w:color="auto"/>
            </w:tcBorders>
            <w:gridSpan w:val="2"/>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r>
        <w:trPr>
          <w:trHeight w:val="230"/>
        </w:trPr>
        <w:tc>
          <w:tcPr>
            <w:tcW w:w="3360" w:type="dxa"/>
            <w:vAlign w:val="bottom"/>
            <w:tcBorders>
              <w:left w:val="single" w:sz="8" w:color="auto"/>
            </w:tcBorders>
          </w:tcPr>
          <w:p>
            <w:pPr>
              <w:jc w:val="center"/>
              <w:ind w:left="344"/>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00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color w:val="auto"/>
              </w:rPr>
              <w:t>NOV</w:t>
            </w:r>
          </w:p>
        </w:tc>
        <w:tc>
          <w:tcPr>
            <w:tcW w:w="300" w:type="dxa"/>
            <w:vAlign w:val="bottom"/>
          </w:tcPr>
          <w:p>
            <w:pPr>
              <w:spacing w:after="0"/>
              <w:rPr>
                <w:sz w:val="19"/>
                <w:szCs w:val="19"/>
                <w:color w:val="auto"/>
              </w:rPr>
            </w:pPr>
          </w:p>
        </w:tc>
        <w:tc>
          <w:tcPr>
            <w:tcW w:w="3440" w:type="dxa"/>
            <w:vAlign w:val="bottom"/>
            <w:tcBorders>
              <w:right w:val="single" w:sz="8" w:color="auto"/>
            </w:tcBorders>
          </w:tcPr>
          <w:p>
            <w:pPr>
              <w:jc w:val="center"/>
              <w:ind w:right="244"/>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50"/>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7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3159760</wp:posOffset>
            </wp:positionH>
            <wp:positionV relativeFrom="paragraph">
              <wp:posOffset>-1928495</wp:posOffset>
            </wp:positionV>
            <wp:extent cx="840105" cy="3086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40105" cy="308610"/>
                    </a:xfrm>
                    <a:prstGeom prst="rect">
                      <a:avLst/>
                    </a:prstGeom>
                    <a:noFill/>
                  </pic:spPr>
                </pic:pic>
              </a:graphicData>
            </a:graphic>
          </wp:anchor>
        </w:drawing>
      </w:r>
    </w:p>
    <w:p>
      <w:pPr>
        <w:spacing w:after="0" w:line="4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3" w:right="339" w:bottom="1440" w:gutter="0" w:footer="0" w:header="0"/>
        </w:sectPr>
      </w:pPr>
    </w:p>
    <w:p>
      <w:pPr>
        <w:spacing w:after="0" w:line="63" w:lineRule="exact"/>
        <w:rPr>
          <w:sz w:val="24"/>
          <w:szCs w:val="24"/>
          <w:color w:val="auto"/>
        </w:rPr>
      </w:pPr>
    </w:p>
    <w:p>
      <w:pPr>
        <w:spacing w:after="0" w:line="302"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jc w:val="center"/>
        <w:ind w:right="360"/>
        <w:spacing w:after="0" w:line="121" w:lineRule="exact"/>
        <w:rPr>
          <w:sz w:val="20"/>
          <w:szCs w:val="20"/>
          <w:color w:val="auto"/>
        </w:rPr>
      </w:pPr>
      <w:r>
        <w:rPr>
          <w:rFonts w:ascii="MS PGothic" w:cs="MS PGothic" w:eastAsia="MS PGothic" w:hAnsi="MS PGothic"/>
          <w:sz w:val="12"/>
          <w:szCs w:val="12"/>
          <w:color w:val="auto"/>
        </w:rPr>
        <w:t>☐</w:t>
      </w:r>
    </w:p>
    <w:p>
      <w:pPr>
        <w:spacing w:after="0" w:line="333" w:lineRule="exact"/>
        <w:rPr>
          <w:sz w:val="24"/>
          <w:szCs w:val="24"/>
          <w:color w:val="auto"/>
        </w:rPr>
      </w:pPr>
    </w:p>
    <w:p>
      <w:pPr>
        <w:sectPr>
          <w:pgSz w:w="11900" w:h="16838" w:orient="portrait"/>
          <w:cols w:equalWidth="0" w:num="6">
            <w:col w:w="1580" w:space="380"/>
            <w:col w:w="1580" w:space="720"/>
            <w:col w:w="1580" w:space="420"/>
            <w:col w:w="2200" w:space="720"/>
            <w:col w:w="1220" w:space="360"/>
            <w:col w:w="480"/>
          </w:cols>
          <w:pgMar w:left="320" w:top="1253"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060"/>
        <w:spacing w:after="0" w:line="27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23, 2026 the registrant had 356,512,491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60" w:type="dxa"/>
            <w:vAlign w:val="bottom"/>
            <w:gridSpan w:val="2"/>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54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7360" w:type="dxa"/>
            <w:vAlign w:val="bottom"/>
            <w:shd w:val="clear" w:color="auto" w:fill="CFF0FC"/>
          </w:tcPr>
          <w:p>
            <w:pPr>
              <w:ind w:left="33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center"/>
              <w:ind w:right="5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Inventories, net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2,050</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 right-of-use assets, operating</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 right-of-use assets, financing</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1,582</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net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18"/>
                <w:szCs w:val="18"/>
                <w:color w:val="auto"/>
              </w:rPr>
            </w:pPr>
          </w:p>
        </w:tc>
      </w:tr>
      <w:tr>
        <w:trPr>
          <w:trHeight w:val="249"/>
        </w:trPr>
        <w:tc>
          <w:tcPr>
            <w:tcW w:w="73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assets</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8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shd w:val="clear" w:color="auto" w:fill="CFF0FC"/>
          </w:tcPr>
          <w:p>
            <w:pPr>
              <w:spacing w:after="0"/>
              <w:rPr>
                <w:sz w:val="21"/>
                <w:szCs w:val="21"/>
                <w:color w:val="auto"/>
              </w:rPr>
            </w:pPr>
          </w:p>
        </w:tc>
      </w:tr>
      <w:tr>
        <w:trPr>
          <w:trHeight w:val="197"/>
        </w:trPr>
        <w:tc>
          <w:tcPr>
            <w:tcW w:w="7360" w:type="dxa"/>
            <w:vAlign w:val="bottom"/>
            <w:tcBorders>
              <w:top w:val="single" w:sz="8" w:color="CFF0FC"/>
            </w:tcBorders>
          </w:tcPr>
          <w:p>
            <w:pPr>
              <w:ind w:left="176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tcBorders>
              <w:top w:val="single" w:sz="8" w:color="CFF0FC"/>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280" w:type="dxa"/>
            <w:vAlign w:val="bottom"/>
          </w:tcPr>
          <w:p>
            <w:pPr>
              <w:spacing w:after="0"/>
              <w:rPr>
                <w:sz w:val="18"/>
                <w:szCs w:val="18"/>
                <w:color w:val="auto"/>
              </w:rPr>
            </w:pP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Contract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income taxes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r>
      <w:tr>
        <w:trPr>
          <w:trHeight w:val="209"/>
        </w:trPr>
        <w:tc>
          <w:tcPr>
            <w:tcW w:w="73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73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 par value $.01; 1 billion shares authorized; 356,512,491 and 360,803,354 shares</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8,269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100" w:type="dxa"/>
            <w:vAlign w:val="bottom"/>
            <w:shd w:val="clear" w:color="auto" w:fill="CFF0FC"/>
          </w:tcPr>
          <w:p>
            <w:pPr>
              <w:spacing w:after="0"/>
              <w:rPr>
                <w:sz w:val="18"/>
                <w:szCs w:val="18"/>
                <w:color w:val="auto"/>
              </w:rPr>
            </w:pPr>
          </w:p>
        </w:tc>
      </w:tr>
      <w:tr>
        <w:trPr>
          <w:trHeight w:val="216"/>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(1,445)</w:t>
            </w:r>
          </w:p>
        </w:tc>
        <w:tc>
          <w:tcPr>
            <w:tcW w:w="24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r>
      <w:tr>
        <w:trPr>
          <w:trHeight w:val="216"/>
        </w:trPr>
        <w:tc>
          <w:tcPr>
            <w:tcW w:w="73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Retained deficit</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(581)</w:t>
            </w:r>
          </w:p>
        </w:tc>
        <w:tc>
          <w:tcPr>
            <w:tcW w:w="2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(673)</w:t>
            </w:r>
          </w:p>
        </w:tc>
      </w:tr>
      <w:tr>
        <w:trPr>
          <w:trHeight w:val="210"/>
        </w:trPr>
        <w:tc>
          <w:tcPr>
            <w:tcW w:w="736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Company stockholders’ equity</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6,268</w:t>
            </w:r>
          </w:p>
        </w:tc>
        <w:tc>
          <w:tcPr>
            <w:tcW w:w="100" w:type="dxa"/>
            <w:vAlign w:val="bottom"/>
            <w:tcBorders>
              <w:top w:val="single" w:sz="8" w:color="CFF0FC"/>
            </w:tcBorders>
          </w:tcPr>
          <w:p>
            <w:pPr>
              <w:spacing w:after="0"/>
              <w:rPr>
                <w:sz w:val="18"/>
                <w:szCs w:val="18"/>
                <w:color w:val="auto"/>
              </w:rPr>
            </w:pPr>
          </w:p>
        </w:tc>
      </w:tr>
      <w:tr>
        <w:trPr>
          <w:trHeight w:val="216"/>
        </w:trPr>
        <w:tc>
          <w:tcPr>
            <w:tcW w:w="73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3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6,308</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6,322</w:t>
            </w:r>
          </w:p>
        </w:tc>
        <w:tc>
          <w:tcPr>
            <w:tcW w:w="100" w:type="dxa"/>
            <w:vAlign w:val="bottom"/>
          </w:tcPr>
          <w:p>
            <w:pPr>
              <w:spacing w:after="0"/>
              <w:rPr>
                <w:sz w:val="18"/>
                <w:szCs w:val="18"/>
                <w:color w:val="auto"/>
              </w:rPr>
            </w:pPr>
          </w:p>
        </w:tc>
      </w:tr>
      <w:tr>
        <w:trPr>
          <w:trHeight w:val="250"/>
        </w:trPr>
        <w:tc>
          <w:tcPr>
            <w:tcW w:w="736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11,224</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11,291</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-4919980</wp:posOffset>
            </wp:positionV>
            <wp:extent cx="685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-4919980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-3531235</wp:posOffset>
            </wp:positionV>
            <wp:extent cx="6858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-3514090</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-3531235</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-3514090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-2407920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-1567815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-1567815</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-599440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-599440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-316865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-8255</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740" w:type="dxa"/>
            <w:vAlign w:val="bottom"/>
          </w:tcPr>
          <w:p>
            <w:pPr>
              <w:spacing w:after="0"/>
              <w:rPr>
                <w:sz w:val="15"/>
                <w:szCs w:val="15"/>
                <w:color w:val="auto"/>
              </w:rPr>
            </w:pPr>
          </w:p>
        </w:tc>
        <w:tc>
          <w:tcPr>
            <w:tcW w:w="3020" w:type="dxa"/>
            <w:vAlign w:val="bottom"/>
            <w:gridSpan w:val="7"/>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2380" w:type="dxa"/>
            <w:vAlign w:val="bottom"/>
            <w:gridSpan w:val="5"/>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74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3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5,162</w:t>
            </w:r>
          </w:p>
        </w:tc>
        <w:tc>
          <w:tcPr>
            <w:tcW w:w="100" w:type="dxa"/>
            <w:vAlign w:val="bottom"/>
          </w:tcPr>
          <w:p>
            <w:pPr>
              <w:spacing w:after="0"/>
              <w:rPr>
                <w:sz w:val="18"/>
                <w:szCs w:val="18"/>
                <w:color w:val="auto"/>
              </w:rPr>
            </w:pPr>
          </w:p>
        </w:tc>
      </w:tr>
      <w:tr>
        <w:trPr>
          <w:trHeight w:val="209"/>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Gross profit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1,339</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957</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100" w:type="dxa"/>
            <w:vAlign w:val="bottom"/>
          </w:tcPr>
          <w:p>
            <w:pPr>
              <w:spacing w:after="0"/>
              <w:rPr>
                <w:sz w:val="18"/>
                <w:szCs w:val="18"/>
                <w:color w:val="auto"/>
              </w:rPr>
            </w:pPr>
          </w:p>
        </w:tc>
      </w:tr>
      <w:tr>
        <w:trPr>
          <w:trHeight w:val="210"/>
        </w:trPr>
        <w:tc>
          <w:tcPr>
            <w:tcW w:w="5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profit</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financial costs</w:t>
            </w:r>
          </w:p>
        </w:tc>
        <w:tc>
          <w:tcPr>
            <w:tcW w:w="10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0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FF0FC"/>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8"/>
                <w:szCs w:val="18"/>
                <w:color w:val="auto"/>
              </w:rPr>
              <w:t>Equity loss in unconsolidated affiliates</w:t>
            </w:r>
          </w:p>
        </w:tc>
        <w:tc>
          <w:tcPr>
            <w:tcW w:w="10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57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10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40" w:type="dxa"/>
            <w:vAlign w:val="bottom"/>
            <w:tcBorders>
              <w:top w:val="single" w:sz="8" w:color="CFF0FC"/>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0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tcBorders>
              <w:top w:val="single" w:sz="8" w:color="CFF0FC"/>
            </w:tcBorders>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r>
      <w:tr>
        <w:trPr>
          <w:trHeight w:val="216"/>
        </w:trPr>
        <w:tc>
          <w:tcPr>
            <w:tcW w:w="5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104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5740" w:type="dxa"/>
            <w:vAlign w:val="bottom"/>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40" w:type="dxa"/>
            <w:vAlign w:val="bottom"/>
            <w:shd w:val="clear" w:color="auto" w:fill="CFF0FC"/>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140" w:type="dxa"/>
            <w:vAlign w:val="bottom"/>
            <w:shd w:val="clear" w:color="auto" w:fill="CFF0FC"/>
          </w:tcPr>
          <w:p>
            <w:pPr>
              <w:spacing w:after="0"/>
              <w:rPr>
                <w:sz w:val="18"/>
                <w:szCs w:val="18"/>
                <w:color w:val="auto"/>
              </w:rPr>
            </w:pPr>
          </w:p>
        </w:tc>
        <w:tc>
          <w:tcPr>
            <w:tcW w:w="320" w:type="dxa"/>
            <w:vAlign w:val="bottom"/>
            <w:gridSpan w:val="2"/>
            <w:shd w:val="clear" w:color="auto" w:fill="CFF0FC"/>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0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18"/>
                <w:szCs w:val="18"/>
                <w:color w:val="auto"/>
              </w:rPr>
            </w:pPr>
          </w:p>
        </w:tc>
      </w:tr>
      <w:tr>
        <w:trPr>
          <w:trHeight w:val="20"/>
        </w:trPr>
        <w:tc>
          <w:tcPr>
            <w:tcW w:w="574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7"/>
        </w:trPr>
        <w:tc>
          <w:tcPr>
            <w:tcW w:w="57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Cash dividends per share</w:t>
            </w:r>
          </w:p>
        </w:tc>
        <w:tc>
          <w:tcPr>
            <w:tcW w:w="1040" w:type="dxa"/>
            <w:vAlign w:val="bottom"/>
          </w:tcPr>
          <w:p>
            <w:pPr>
              <w:jc w:val="right"/>
              <w:ind w:right="879"/>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0.09</w:t>
            </w:r>
          </w:p>
        </w:tc>
        <w:tc>
          <w:tcPr>
            <w:tcW w:w="140" w:type="dxa"/>
            <w:vAlign w:val="bottom"/>
          </w:tcPr>
          <w:p>
            <w:pPr>
              <w:spacing w:after="0"/>
              <w:rPr>
                <w:sz w:val="17"/>
                <w:szCs w:val="17"/>
                <w:color w:val="auto"/>
              </w:rPr>
            </w:pPr>
          </w:p>
        </w:tc>
        <w:tc>
          <w:tcPr>
            <w:tcW w:w="320" w:type="dxa"/>
            <w:vAlign w:val="bottom"/>
            <w:gridSpan w:val="2"/>
          </w:tcPr>
          <w:p>
            <w:pPr>
              <w:jc w:val="right"/>
              <w:ind w:right="140"/>
              <w:spacing w:after="0" w:line="196" w:lineRule="exact"/>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0.075</w:t>
            </w:r>
          </w:p>
        </w:tc>
        <w:tc>
          <w:tcPr>
            <w:tcW w:w="200" w:type="dxa"/>
            <w:vAlign w:val="bottom"/>
          </w:tcPr>
          <w:p>
            <w:pPr>
              <w:spacing w:after="0"/>
              <w:rPr>
                <w:sz w:val="17"/>
                <w:szCs w:val="17"/>
                <w:color w:val="auto"/>
              </w:rPr>
            </w:pPr>
          </w:p>
        </w:tc>
        <w:tc>
          <w:tcPr>
            <w:tcW w:w="1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7"/>
                <w:szCs w:val="17"/>
                <w:color w:val="auto"/>
              </w:rPr>
            </w:pP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0.435</w:t>
            </w:r>
          </w:p>
        </w:tc>
        <w:tc>
          <w:tcPr>
            <w:tcW w:w="100" w:type="dxa"/>
            <w:vAlign w:val="bottom"/>
          </w:tcPr>
          <w:p>
            <w:pPr>
              <w:spacing w:after="0"/>
              <w:rPr>
                <w:sz w:val="17"/>
                <w:szCs w:val="17"/>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74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04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tcBorders>
              <w:right w:val="single" w:sz="8" w:color="CFF0FC"/>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5740" w:type="dxa"/>
            <w:vAlign w:val="bottom"/>
            <w:tcBorders>
              <w:bottom w:val="single" w:sz="8" w:color="CFF0FC"/>
            </w:tcBorders>
            <w:shd w:val="clear" w:color="auto" w:fill="CFF0FC"/>
          </w:tcPr>
          <w:p>
            <w:pPr>
              <w:ind w:left="12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0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360</w:t>
            </w:r>
          </w:p>
        </w:tc>
        <w:tc>
          <w:tcPr>
            <w:tcW w:w="14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371</w:t>
            </w:r>
          </w:p>
        </w:tc>
        <w:tc>
          <w:tcPr>
            <w:tcW w:w="20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10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w:t>
            </w:r>
          </w:p>
        </w:tc>
        <w:tc>
          <w:tcPr>
            <w:tcW w:w="22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7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377</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-1824990</wp:posOffset>
            </wp:positionV>
            <wp:extent cx="77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-1824990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-1824990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-1824990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-1542415</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-1542415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-1542415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-1259840</wp:posOffset>
            </wp:positionV>
            <wp:extent cx="7747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-1259840</wp:posOffset>
            </wp:positionV>
            <wp:extent cx="68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-1259840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-650875</wp:posOffset>
            </wp:positionV>
            <wp:extent cx="7747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-633730</wp:posOffset>
            </wp:positionV>
            <wp:extent cx="774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-650875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-633730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-650875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-633730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-650875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-24765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-7620</wp:posOffset>
            </wp:positionV>
            <wp:extent cx="7747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6305550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20" w:type="dxa"/>
            <w:vAlign w:val="bottom"/>
            <w:gridSpan w:val="6"/>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5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60" w:type="dxa"/>
            <w:vAlign w:val="bottom"/>
            <w:tcBorders>
              <w:top w:val="single" w:sz="8" w:color="auto"/>
              <w:bottom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2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22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derivative financial instruments, net of tax</w:t>
            </w:r>
          </w:p>
        </w:tc>
        <w:tc>
          <w:tcPr>
            <w:tcW w:w="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Changes in defined benefit plans, net of tax</w:t>
            </w:r>
          </w:p>
        </w:tc>
        <w:tc>
          <w:tcPr>
            <w:tcW w:w="6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09"/>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income</w:t>
            </w:r>
          </w:p>
        </w:tc>
        <w:tc>
          <w:tcPr>
            <w:tcW w:w="64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3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64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r>
      <w:tr>
        <w:trPr>
          <w:trHeight w:val="230"/>
        </w:trPr>
        <w:tc>
          <w:tcPr>
            <w:tcW w:w="51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Comprehensive income attributable to Company</w:t>
            </w:r>
          </w:p>
        </w:tc>
        <w:tc>
          <w:tcPr>
            <w:tcW w:w="1400" w:type="dxa"/>
            <w:vAlign w:val="bottom"/>
            <w:gridSpan w:val="2"/>
            <w:shd w:val="clear" w:color="auto" w:fill="CFF0FC"/>
          </w:tcPr>
          <w:p>
            <w:pPr>
              <w:jc w:val="right"/>
              <w:ind w:right="608"/>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FF0FC"/>
          </w:tcPr>
          <w:p>
            <w:pPr>
              <w:spacing w:after="0"/>
              <w:rPr>
                <w:sz w:val="19"/>
                <w:szCs w:val="19"/>
                <w:color w:val="auto"/>
              </w:rPr>
            </w:pPr>
          </w:p>
        </w:tc>
        <w:tc>
          <w:tcPr>
            <w:tcW w:w="4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3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shd w:val="clear" w:color="auto" w:fill="CFF0FC"/>
          </w:tcPr>
          <w:p>
            <w:pPr>
              <w:spacing w:after="0"/>
              <w:rPr>
                <w:sz w:val="19"/>
                <w:szCs w:val="19"/>
                <w:color w:val="auto"/>
              </w:rPr>
            </w:pP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4368165</wp:posOffset>
            </wp:positionH>
            <wp:positionV relativeFrom="paragraph">
              <wp:posOffset>-24765</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-7620</wp:posOffset>
            </wp:positionV>
            <wp:extent cx="774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840" w:type="dxa"/>
            <w:vAlign w:val="bottom"/>
            <w:tcBorders>
              <w:bottom w:val="single" w:sz="8" w:color="auto"/>
            </w:tcBorders>
            <w:gridSpan w:val="5"/>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6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9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9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180" w:type="dxa"/>
            <w:vAlign w:val="bottom"/>
          </w:tcPr>
          <w:p>
            <w:pPr>
              <w:spacing w:after="0"/>
              <w:rPr>
                <w:sz w:val="18"/>
                <w:szCs w:val="18"/>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net</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Receivables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Inventories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Contract assets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liabilities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(108)</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Contract liabilities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taxes payable</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6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9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9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80" w:type="dxa"/>
            <w:vAlign w:val="bottom"/>
          </w:tcPr>
          <w:p>
            <w:pPr>
              <w:spacing w:after="0"/>
              <w:rPr>
                <w:sz w:val="18"/>
                <w:szCs w:val="18"/>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tcPr>
          <w:p>
            <w:pPr>
              <w:spacing w:after="0"/>
              <w:rPr>
                <w:sz w:val="18"/>
                <w:szCs w:val="18"/>
                <w:color w:val="auto"/>
              </w:rPr>
            </w:pPr>
          </w:p>
        </w:tc>
      </w:tr>
      <w:tr>
        <w:trPr>
          <w:trHeight w:val="209"/>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9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(274)</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sales of fixed assets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88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9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(202)</w:t>
            </w: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9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Borrowings against lines of credit and other debt</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against lines of credit and other debt</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dividends paid</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(163)</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Share repurchases</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68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Financing leases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68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0"/>
        </w:trPr>
        <w:tc>
          <w:tcPr>
            <w:tcW w:w="68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r>
        <w:trPr>
          <w:trHeight w:val="20"/>
        </w:trPr>
        <w:tc>
          <w:tcPr>
            <w:tcW w:w="6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8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9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r>
      <w:tr>
        <w:trPr>
          <w:trHeight w:val="20"/>
        </w:trPr>
        <w:tc>
          <w:tcPr>
            <w:tcW w:w="688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(494)</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6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88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9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w:t>
            </w:r>
          </w:p>
        </w:tc>
        <w:tc>
          <w:tcPr>
            <w:tcW w:w="180" w:type="dxa"/>
            <w:vAlign w:val="bottom"/>
          </w:tcPr>
          <w:p>
            <w:pPr>
              <w:spacing w:after="0"/>
              <w:rPr>
                <w:sz w:val="18"/>
                <w:szCs w:val="18"/>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100" w:type="dxa"/>
            <w:vAlign w:val="bottom"/>
          </w:tcPr>
          <w:p>
            <w:pPr>
              <w:spacing w:after="0"/>
              <w:rPr>
                <w:sz w:val="18"/>
                <w:szCs w:val="18"/>
                <w:color w:val="auto"/>
              </w:rPr>
            </w:pPr>
          </w:p>
        </w:tc>
      </w:tr>
      <w:tr>
        <w:trPr>
          <w:trHeight w:val="20"/>
        </w:trPr>
        <w:tc>
          <w:tcPr>
            <w:tcW w:w="6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68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90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8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Cash payments during the period for:</w:t>
            </w:r>
          </w:p>
        </w:tc>
        <w:tc>
          <w:tcPr>
            <w:tcW w:w="9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8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Interest</w:t>
            </w:r>
          </w:p>
        </w:tc>
        <w:tc>
          <w:tcPr>
            <w:tcW w:w="1900" w:type="dxa"/>
            <w:vAlign w:val="bottom"/>
            <w:gridSpan w:val="2"/>
            <w:shd w:val="clear" w:color="auto" w:fill="CFF0FC"/>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8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FF0FC"/>
          </w:tcPr>
          <w:p>
            <w:pPr>
              <w:spacing w:after="0"/>
              <w:rPr>
                <w:sz w:val="18"/>
                <w:szCs w:val="18"/>
                <w:color w:val="auto"/>
              </w:rPr>
            </w:pPr>
          </w:p>
        </w:tc>
      </w:tr>
      <w:tr>
        <w:trPr>
          <w:trHeight w:val="234"/>
        </w:trPr>
        <w:tc>
          <w:tcPr>
            <w:tcW w:w="688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Income taxes</w:t>
            </w:r>
          </w:p>
        </w:tc>
        <w:tc>
          <w:tcPr>
            <w:tcW w:w="1900" w:type="dxa"/>
            <w:vAlign w:val="bottom"/>
            <w:gridSpan w:val="2"/>
          </w:tcPr>
          <w:p>
            <w:pPr>
              <w:jc w:val="right"/>
              <w:ind w:right="848"/>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0"/>
                <w:szCs w:val="20"/>
                <w:color w:val="auto"/>
              </w:rPr>
            </w:pPr>
          </w:p>
        </w:tc>
        <w:tc>
          <w:tcPr>
            <w:tcW w:w="114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-3260090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-3260090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-2419985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-2419985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-1305560</wp:posOffset>
            </wp:positionV>
            <wp:extent cx="685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-1305560</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-1014095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-1014095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-730885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-730885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2"/>
        </w:trPr>
        <w:tc>
          <w:tcPr>
            <w:tcW w:w="296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Issued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296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21"/>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9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80" w:type="dxa"/>
            <w:vAlign w:val="bottom"/>
          </w:tcPr>
          <w:p>
            <w:pPr>
              <w:spacing w:after="0"/>
              <w:rPr>
                <w:sz w:val="10"/>
                <w:szCs w:val="10"/>
                <w:color w:val="auto"/>
              </w:rPr>
            </w:pPr>
          </w:p>
        </w:tc>
        <w:tc>
          <w:tcPr>
            <w:tcW w:w="104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37"/>
        </w:trPr>
        <w:tc>
          <w:tcPr>
            <w:tcW w:w="29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1"/>
                <w:szCs w:val="11"/>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361</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8,361</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(1,424)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(673)</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6,322</w:t>
            </w:r>
          </w:p>
        </w:tc>
        <w:tc>
          <w:tcPr>
            <w:tcW w:w="120" w:type="dxa"/>
            <w:vAlign w:val="bottom"/>
            <w:shd w:val="clear" w:color="auto" w:fill="CFF0FC"/>
          </w:tcPr>
          <w:p>
            <w:pPr>
              <w:spacing w:after="0"/>
              <w:rPr>
                <w:sz w:val="20"/>
                <w:szCs w:val="20"/>
                <w:color w:val="auto"/>
              </w:rPr>
            </w:pPr>
          </w:p>
        </w:tc>
      </w:tr>
      <w:tr>
        <w:trPr>
          <w:trHeight w:val="183"/>
        </w:trPr>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Borders>
              <w:top w:val="single" w:sz="8" w:color="CFF0FC"/>
            </w:tcBorders>
          </w:tcPr>
          <w:p>
            <w:pPr>
              <w:spacing w:after="0"/>
              <w:rPr>
                <w:sz w:val="15"/>
                <w:szCs w:val="15"/>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$0.09 per common share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Withholding taxes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(19)</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(67)</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7"/>
                <w:szCs w:val="17"/>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March 31, 2026</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8,317</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(1,422)</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(687)</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6,212</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6,268</w:t>
            </w:r>
          </w:p>
        </w:tc>
        <w:tc>
          <w:tcPr>
            <w:tcW w:w="120" w:type="dxa"/>
            <w:vAlign w:val="bottom"/>
            <w:shd w:val="clear" w:color="auto" w:fill="CFF0FC"/>
          </w:tcPr>
          <w:p>
            <w:pPr>
              <w:spacing w:after="0"/>
              <w:rPr>
                <w:sz w:val="20"/>
                <w:szCs w:val="20"/>
                <w:color w:val="auto"/>
              </w:rPr>
            </w:pPr>
          </w:p>
        </w:tc>
      </w:tr>
      <w:tr>
        <w:trPr>
          <w:trHeight w:val="183"/>
        </w:trPr>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Borders>
              <w:top w:val="single" w:sz="8" w:color="CFF0FC"/>
            </w:tcBorders>
          </w:tcPr>
          <w:p>
            <w:pPr>
              <w:spacing w:after="0"/>
              <w:rPr>
                <w:sz w:val="15"/>
                <w:szCs w:val="15"/>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$0.18 per common share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(64)</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(63)</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w:t>
            </w:r>
          </w:p>
        </w:tc>
      </w:tr>
      <w:tr>
        <w:trPr>
          <w:trHeight w:val="20"/>
        </w:trPr>
        <w:tc>
          <w:tcPr>
            <w:tcW w:w="29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8,270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(1,430)</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6,205</w:t>
            </w:r>
          </w:p>
        </w:tc>
        <w:tc>
          <w:tcPr>
            <w:tcW w:w="120" w:type="dxa"/>
            <w:vAlign w:val="bottom"/>
          </w:tcPr>
          <w:p>
            <w:pPr>
              <w:spacing w:after="0"/>
              <w:rPr>
                <w:sz w:val="17"/>
                <w:szCs w:val="17"/>
                <w:color w:val="auto"/>
              </w:rPr>
            </w:pP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6,261</w:t>
            </w:r>
          </w:p>
        </w:tc>
        <w:tc>
          <w:tcPr>
            <w:tcW w:w="1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shd w:val="clear" w:color="auto" w:fill="CFF0FC"/>
          </w:tcPr>
          <w:p>
            <w:pPr>
              <w:spacing w:after="0"/>
              <w:rPr>
                <w:sz w:val="15"/>
                <w:szCs w:val="15"/>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$0.09 per common share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(32)</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(32)</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 options exercised</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(15)</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29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September 30, 2026</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8,269</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(1,445)</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(581)</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6,247</w:t>
            </w:r>
          </w:p>
        </w:tc>
        <w:tc>
          <w:tcPr>
            <w:tcW w:w="120" w:type="dxa"/>
            <w:vAlign w:val="bottom"/>
          </w:tcPr>
          <w:p>
            <w:pPr>
              <w:spacing w:after="0"/>
              <w:rPr>
                <w:sz w:val="17"/>
                <w:szCs w:val="17"/>
                <w:color w:val="auto"/>
              </w:rPr>
            </w:pP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6,308</w:t>
            </w:r>
          </w:p>
        </w:tc>
        <w:tc>
          <w:tcPr>
            <w:tcW w:w="1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-3599815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-3582670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-3599815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-3582670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-3599815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-3582670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-3599815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-3582670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-3599815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-3582670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-3599815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-3582670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-3599815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-3582670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-3599815</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-3582670</wp:posOffset>
            </wp:positionV>
            <wp:extent cx="774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-2279650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-2262505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-2279650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-2262505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-2279650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-2262505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-2279650</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-2262505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-2279650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-2262505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-2279650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-2262505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-2279650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-2262505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-2279650</wp:posOffset>
            </wp:positionV>
            <wp:extent cx="774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-2262505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-1224915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-1224915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-1224915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-1224915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-1224915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-1224915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-1224915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-1224915</wp:posOffset>
            </wp:positionV>
            <wp:extent cx="774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-161925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-161925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-161925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-161925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-161925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-161925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-161925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26"/>
        </w:trPr>
        <w:tc>
          <w:tcPr>
            <w:tcW w:w="29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9"/>
              </w:rPr>
              <w:t>Accumulated</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1"/>
        </w:trPr>
        <w:tc>
          <w:tcPr>
            <w:tcW w:w="296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Issued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2"/>
        </w:trPr>
        <w:tc>
          <w:tcPr>
            <w:tcW w:w="2960" w:type="dxa"/>
            <w:vAlign w:val="bottom"/>
          </w:tcPr>
          <w:p>
            <w:pPr>
              <w:spacing w:after="0"/>
              <w:rPr>
                <w:sz w:val="10"/>
                <w:szCs w:val="10"/>
                <w:color w:val="auto"/>
              </w:rPr>
            </w:pPr>
          </w:p>
        </w:tc>
        <w:tc>
          <w:tcPr>
            <w:tcW w:w="1000" w:type="dxa"/>
            <w:vAlign w:val="bottom"/>
            <w:gridSpan w:val="2"/>
          </w:tcPr>
          <w:p>
            <w:pPr>
              <w:jc w:val="center"/>
              <w:ind w:right="14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jc w:val="right"/>
              <w:ind w:right="121"/>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gridSpan w:val="2"/>
          </w:tcPr>
          <w:p>
            <w:pPr>
              <w:jc w:val="right"/>
              <w:ind w:right="460"/>
              <w:spacing w:after="0" w:line="122" w:lineRule="exact"/>
              <w:rPr>
                <w:sz w:val="20"/>
                <w:szCs w:val="20"/>
                <w:color w:val="auto"/>
              </w:rPr>
            </w:pPr>
            <w:r>
              <w:rPr>
                <w:rFonts w:ascii="Times New Roman" w:cs="Times New Roman" w:eastAsia="Times New Roman" w:hAnsi="Times New Roman"/>
                <w:sz w:val="11"/>
                <w:szCs w:val="11"/>
                <w:b w:val="1"/>
                <w:bCs w:val="1"/>
                <w:color w:val="auto"/>
              </w:rPr>
              <w:t>Paid-in</w:t>
            </w:r>
          </w:p>
        </w:tc>
        <w:tc>
          <w:tcPr>
            <w:tcW w:w="960" w:type="dxa"/>
            <w:vAlign w:val="bottom"/>
            <w:gridSpan w:val="3"/>
          </w:tcPr>
          <w:p>
            <w:pPr>
              <w:jc w:val="center"/>
              <w:ind w:right="1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00" w:type="dxa"/>
            <w:vAlign w:val="bottom"/>
            <w:gridSpan w:val="2"/>
          </w:tcPr>
          <w:p>
            <w:pPr>
              <w:jc w:val="right"/>
              <w:ind w:right="420"/>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c>
          <w:tcPr>
            <w:tcW w:w="80" w:type="dxa"/>
            <w:vAlign w:val="bottom"/>
          </w:tcPr>
          <w:p>
            <w:pPr>
              <w:spacing w:after="0"/>
              <w:rPr>
                <w:sz w:val="10"/>
                <w:szCs w:val="10"/>
                <w:color w:val="auto"/>
              </w:rPr>
            </w:pPr>
          </w:p>
        </w:tc>
        <w:tc>
          <w:tcPr>
            <w:tcW w:w="1040" w:type="dxa"/>
            <w:vAlign w:val="bottom"/>
            <w:gridSpan w:val="3"/>
          </w:tcPr>
          <w:p>
            <w:pPr>
              <w:jc w:val="right"/>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Noncontrolling</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Stockholders’</w:t>
            </w:r>
          </w:p>
        </w:tc>
      </w:tr>
      <w:tr>
        <w:trPr>
          <w:trHeight w:val="137"/>
        </w:trPr>
        <w:tc>
          <w:tcPr>
            <w:tcW w:w="2960" w:type="dxa"/>
            <w:vAlign w:val="bottom"/>
          </w:tcPr>
          <w:p>
            <w:pPr>
              <w:spacing w:after="0"/>
              <w:rPr>
                <w:sz w:val="11"/>
                <w:szCs w:val="11"/>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Stock</w:t>
            </w: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rPr>
              <w:t>Interests</w:t>
            </w: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20" w:type="dxa"/>
            <w:vAlign w:val="bottom"/>
          </w:tcPr>
          <w:p>
            <w:pPr>
              <w:spacing w:after="0"/>
              <w:rPr>
                <w:sz w:val="11"/>
                <w:szCs w:val="11"/>
                <w:color w:val="auto"/>
              </w:rPr>
            </w:pPr>
          </w:p>
        </w:tc>
      </w:tr>
      <w:tr>
        <w:trPr>
          <w:trHeight w:val="23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December 31, 2024</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(1,625)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(628)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6,376</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00" w:type="dxa"/>
            <w:vAlign w:val="bottom"/>
            <w:shd w:val="clear" w:color="auto" w:fill="CFF0FC"/>
          </w:tcPr>
          <w:p>
            <w:pPr>
              <w:spacing w:after="0"/>
              <w:rPr>
                <w:sz w:val="20"/>
                <w:szCs w:val="20"/>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6,428</w:t>
            </w:r>
          </w:p>
        </w:tc>
        <w:tc>
          <w:tcPr>
            <w:tcW w:w="120" w:type="dxa"/>
            <w:vAlign w:val="bottom"/>
            <w:shd w:val="clear" w:color="auto" w:fill="CFF0FC"/>
          </w:tcPr>
          <w:p>
            <w:pPr>
              <w:spacing w:after="0"/>
              <w:rPr>
                <w:sz w:val="20"/>
                <w:szCs w:val="20"/>
                <w:color w:val="auto"/>
              </w:rPr>
            </w:pPr>
          </w:p>
        </w:tc>
      </w:tr>
      <w:tr>
        <w:trPr>
          <w:trHeight w:val="183"/>
        </w:trPr>
        <w:tc>
          <w:tcPr>
            <w:tcW w:w="29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6"/>
                <w:szCs w:val="16"/>
                <w:color w:val="auto"/>
              </w:rPr>
              <w:t>Net income</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20" w:type="dxa"/>
            <w:vAlign w:val="bottom"/>
            <w:tcBorders>
              <w:top w:val="single" w:sz="8" w:color="CFF0FC"/>
            </w:tcBorders>
          </w:tcPr>
          <w:p>
            <w:pPr>
              <w:spacing w:after="0"/>
              <w:rPr>
                <w:sz w:val="15"/>
                <w:szCs w:val="15"/>
                <w:color w:val="auto"/>
              </w:rPr>
            </w:pPr>
          </w:p>
        </w:tc>
        <w:tc>
          <w:tcPr>
            <w:tcW w:w="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Borders>
              <w:top w:val="single" w:sz="8" w:color="CFF0FC"/>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Borders>
              <w:top w:val="single" w:sz="8" w:color="CFF0FC"/>
            </w:tcBorders>
          </w:tcPr>
          <w:p>
            <w:pPr>
              <w:spacing w:after="0"/>
              <w:rPr>
                <w:sz w:val="15"/>
                <w:szCs w:val="15"/>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Cash dividends, $0.075 per common share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Common stock issued</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Withholding taxes</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(13)</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(81)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(81)</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9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March 31,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8,546</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(1,527)</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6,440</w:t>
            </w:r>
          </w:p>
        </w:tc>
        <w:tc>
          <w:tcPr>
            <w:tcW w:w="120" w:type="dxa"/>
            <w:vAlign w:val="bottom"/>
          </w:tcPr>
          <w:p>
            <w:pPr>
              <w:spacing w:after="0"/>
              <w:rPr>
                <w:sz w:val="17"/>
                <w:szCs w:val="17"/>
                <w:color w:val="auto"/>
              </w:rPr>
            </w:pP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6,494</w:t>
            </w:r>
          </w:p>
        </w:tc>
        <w:tc>
          <w:tcPr>
            <w:tcW w:w="1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20" w:type="dxa"/>
            <w:vAlign w:val="bottom"/>
            <w:shd w:val="clear" w:color="auto" w:fill="CFF0FC"/>
          </w:tcPr>
          <w:p>
            <w:pPr>
              <w:spacing w:after="0"/>
              <w:rPr>
                <w:sz w:val="15"/>
                <w:szCs w:val="15"/>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$0.285 per common share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(107)</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FF0FC"/>
          </w:tcPr>
          <w:p>
            <w:pPr>
              <w:spacing w:after="0"/>
              <w:rPr>
                <w:sz w:val="17"/>
                <w:szCs w:val="17"/>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(69)</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(69)</w:t>
            </w: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w:t>
            </w:r>
          </w:p>
        </w:tc>
      </w:tr>
      <w:tr>
        <w:trPr>
          <w:trHeight w:val="20"/>
        </w:trPr>
        <w:tc>
          <w:tcPr>
            <w:tcW w:w="2960" w:type="dxa"/>
            <w:vAlign w:val="bottom"/>
            <w:shd w:val="clear" w:color="auto" w:fill="CFF0FC"/>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196"/>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Balance at June 30, 2025</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8,493</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(1,411)</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(582)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6,504</w:t>
            </w:r>
          </w:p>
        </w:tc>
        <w:tc>
          <w:tcPr>
            <w:tcW w:w="120" w:type="dxa"/>
            <w:vAlign w:val="bottom"/>
          </w:tcPr>
          <w:p>
            <w:pPr>
              <w:spacing w:after="0"/>
              <w:rPr>
                <w:sz w:val="17"/>
                <w:szCs w:val="17"/>
                <w:color w:val="auto"/>
              </w:rPr>
            </w:pPr>
          </w:p>
        </w:tc>
        <w:tc>
          <w:tcPr>
            <w:tcW w:w="240" w:type="dxa"/>
            <w:vAlign w:val="bottom"/>
            <w:gridSpan w:val="2"/>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6,558</w:t>
            </w:r>
          </w:p>
        </w:tc>
        <w:tc>
          <w:tcPr>
            <w:tcW w:w="120" w:type="dxa"/>
            <w:vAlign w:val="bottom"/>
          </w:tcPr>
          <w:p>
            <w:pPr>
              <w:spacing w:after="0"/>
              <w:rPr>
                <w:sz w:val="17"/>
                <w:szCs w:val="17"/>
                <w:color w:val="auto"/>
              </w:rPr>
            </w:pPr>
          </w:p>
        </w:tc>
      </w:tr>
      <w:tr>
        <w:trPr>
          <w:trHeight w:val="20"/>
        </w:trPr>
        <w:tc>
          <w:tcPr>
            <w:tcW w:w="29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8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20" w:type="dxa"/>
            <w:vAlign w:val="bottom"/>
            <w:shd w:val="clear" w:color="auto" w:fill="CFF0FC"/>
          </w:tcPr>
          <w:p>
            <w:pPr>
              <w:spacing w:after="0"/>
              <w:rPr>
                <w:sz w:val="15"/>
                <w:szCs w:val="15"/>
                <w:color w:val="auto"/>
              </w:rPr>
            </w:pP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Cash dividends, $0.075 per common share</w:t>
            </w:r>
          </w:p>
        </w:tc>
        <w:tc>
          <w:tcPr>
            <w:tcW w:w="10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(28)</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(28)</w:t>
            </w:r>
          </w:p>
        </w:tc>
      </w:tr>
      <w:tr>
        <w:trPr>
          <w:trHeight w:val="203"/>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r>
      <w:tr>
        <w:trPr>
          <w:trHeight w:val="203"/>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Share repurchases</w:t>
            </w: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(80)</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7"/>
                <w:szCs w:val="17"/>
                <w:color w:val="auto"/>
              </w:rPr>
            </w:pPr>
          </w:p>
        </w:tc>
        <w:tc>
          <w:tcPr>
            <w:tcW w:w="8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(80)</w:t>
            </w:r>
          </w:p>
        </w:tc>
      </w:tr>
      <w:tr>
        <w:trPr>
          <w:trHeight w:val="202"/>
        </w:trPr>
        <w:tc>
          <w:tcPr>
            <w:tcW w:w="2960" w:type="dxa"/>
            <w:vAlign w:val="bottom"/>
          </w:tcPr>
          <w:p>
            <w:pPr>
              <w:spacing w:after="0"/>
              <w:rPr>
                <w:sz w:val="20"/>
                <w:szCs w:val="20"/>
                <w:color w:val="auto"/>
              </w:rPr>
            </w:pPr>
            <w:r>
              <w:rPr>
                <w:rFonts w:ascii="Times New Roman" w:cs="Times New Roman" w:eastAsia="Times New Roman" w:hAnsi="Times New Roman"/>
                <w:sz w:val="16"/>
                <w:szCs w:val="16"/>
                <w:color w:val="auto"/>
              </w:rPr>
              <w:t>Other</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r>
      <w:tr>
        <w:trPr>
          <w:trHeight w:val="20"/>
        </w:trPr>
        <w:tc>
          <w:tcPr>
            <w:tcW w:w="29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6"/>
        </w:trPr>
        <w:tc>
          <w:tcPr>
            <w:tcW w:w="29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Balance at September 30, 2025</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8,429</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6"/>
                <w:szCs w:val="16"/>
                <w:color w:val="auto"/>
              </w:rPr>
              <w:t>(1,410)</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(568)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6,455</w:t>
            </w:r>
          </w:p>
        </w:tc>
        <w:tc>
          <w:tcPr>
            <w:tcW w:w="12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26"/>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6,512</w:t>
            </w:r>
          </w:p>
        </w:tc>
        <w:tc>
          <w:tcPr>
            <w:tcW w:w="120" w:type="dxa"/>
            <w:vAlign w:val="bottom"/>
            <w:shd w:val="clear" w:color="auto" w:fill="CFF0FC"/>
          </w:tcPr>
          <w:p>
            <w:pPr>
              <w:spacing w:after="0"/>
              <w:rPr>
                <w:sz w:val="18"/>
                <w:szCs w:val="18"/>
                <w:color w:val="auto"/>
              </w:rPr>
            </w:pPr>
          </w:p>
        </w:tc>
      </w:tr>
      <w:tr>
        <w:trPr>
          <w:trHeight w:val="20"/>
        </w:trPr>
        <w:tc>
          <w:tcPr>
            <w:tcW w:w="296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-3213735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-3196590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-3213735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-3196590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-3213735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-3196590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-3213735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-3196590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-3213735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-3196590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-3213735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-3196590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-3213735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-3196590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-3213735</wp:posOffset>
            </wp:positionV>
            <wp:extent cx="7747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-3196590</wp:posOffset>
            </wp:positionV>
            <wp:extent cx="7747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-2159635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-2159635</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-2159635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-2159635</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-2159635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-2159635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-2159635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-2159635</wp:posOffset>
            </wp:positionV>
            <wp:extent cx="7747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-1096645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-1096645</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-1096645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-1096645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-1096645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-1096645</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-1096645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-25400</wp:posOffset>
            </wp:positionV>
            <wp:extent cx="6858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-8255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-25400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-8255</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-25400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3742690</wp:posOffset>
            </wp:positionH>
            <wp:positionV relativeFrom="paragraph">
              <wp:posOffset>-8255</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-25400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-8255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-25400</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-8255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-25400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-8255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-25400</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-8255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-25400</wp:posOffset>
            </wp:positionV>
            <wp:extent cx="7747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-8255</wp:posOffset>
            </wp:positionV>
            <wp:extent cx="7747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NOV Inc. (“NOV” or the “Company”) present information in accordance with generally accepted accounting principles in the United States (“GAAP”) for interim financial information and the instructions to Form 10-Q and applicable rules of Regulation S-X. They do not include all information or footnotes required by GAAP for complete consolidated financial statements and should be read in conjunction with the audited consolidated financial statements and footnotes included in the Company’s 2025 Annual Report on Form 10-K. Certain reclassifications have been made to prior period financial information in order to conform with current period presentation.</w:t>
      </w:r>
    </w:p>
    <w:p>
      <w:pPr>
        <w:spacing w:after="0" w:line="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our opinion, the consolidated financial statements include all adjustments, which are of a normal recurring nature unless otherwise disclosed, necessary for a fair presentation of the results for the interim periods. The results of operations for the three and nine months ended September 30, 2026 are not necessarily indicative of the results to be expected for the full year.</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cash and cash equivalents, receivables and payables were approximately the same as their presented carrying values because of the short maturities of these instruments. The fair value of long-term debt is provided in Note 8, and the fair values of derivative financial instruments are provided in Note 11.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Inventories,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Inventories consist of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3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340" w:type="dxa"/>
            <w:vAlign w:val="bottom"/>
            <w:tcBorders>
              <w:bottom w:val="single" w:sz="8" w:color="CFF0FC"/>
            </w:tcBorders>
            <w:shd w:val="clear" w:color="auto" w:fill="CFF0FC"/>
          </w:tcPr>
          <w:p>
            <w:pPr>
              <w:spacing w:after="0"/>
              <w:rPr>
                <w:sz w:val="18"/>
                <w:szCs w:val="18"/>
                <w:color w:val="auto"/>
              </w:rPr>
            </w:pPr>
          </w:p>
        </w:tc>
        <w:tc>
          <w:tcPr>
            <w:tcW w:w="286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w:t>
            </w:r>
          </w:p>
        </w:tc>
        <w:tc>
          <w:tcPr>
            <w:tcW w:w="2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3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(278)</w:t>
            </w:r>
          </w:p>
        </w:tc>
        <w:tc>
          <w:tcPr>
            <w:tcW w:w="12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w:t>
            </w:r>
          </w:p>
        </w:tc>
        <w:tc>
          <w:tcPr>
            <w:tcW w:w="0" w:type="dxa"/>
            <w:vAlign w:val="bottom"/>
          </w:tcPr>
          <w:p>
            <w:pPr>
              <w:spacing w:after="0"/>
              <w:rPr>
                <w:sz w:val="1"/>
                <w:szCs w:val="1"/>
                <w:color w:val="auto"/>
              </w:rPr>
            </w:pPr>
          </w:p>
        </w:tc>
      </w:tr>
      <w:tr>
        <w:trPr>
          <w:trHeight w:val="20"/>
        </w:trPr>
        <w:tc>
          <w:tcPr>
            <w:tcW w:w="340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2860" w:type="dxa"/>
            <w:vAlign w:val="bottom"/>
            <w:shd w:val="clear" w:color="auto" w:fill="CFF0FC"/>
          </w:tcPr>
          <w:p>
            <w:pPr>
              <w:spacing w:after="0" w:line="20" w:lineRule="exact"/>
              <w:rPr>
                <w:sz w:val="1"/>
                <w:szCs w:val="1"/>
                <w:color w:val="auto"/>
              </w:rPr>
            </w:pPr>
          </w:p>
        </w:tc>
        <w:tc>
          <w:tcPr>
            <w:tcW w:w="760" w:type="dxa"/>
            <w:vAlign w:val="bottom"/>
            <w:shd w:val="clear" w:color="auto" w:fill="CFF0FC"/>
          </w:tcPr>
          <w:p>
            <w:pPr>
              <w:spacing w:after="0" w:line="20" w:lineRule="exact"/>
              <w:rPr>
                <w:sz w:val="1"/>
                <w:szCs w:val="1"/>
                <w:color w:val="auto"/>
              </w:rPr>
            </w:pPr>
          </w:p>
        </w:tc>
        <w:tc>
          <w:tcPr>
            <w:tcW w:w="40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Accrued Liabilities</w:t>
            </w:r>
          </w:p>
        </w:tc>
        <w:tc>
          <w:tcPr>
            <w:tcW w:w="34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4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Accrued liabilities consist of (in millions):</w:t>
            </w:r>
          </w:p>
        </w:tc>
        <w:tc>
          <w:tcPr>
            <w:tcW w:w="34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34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760" w:type="dxa"/>
            <w:vAlign w:val="bottom"/>
            <w:tcBorders>
              <w:bottom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3260" w:type="dxa"/>
            <w:vAlign w:val="bottom"/>
            <w:tcBorders>
              <w:bottom w:val="single" w:sz="8" w:color="auto"/>
            </w:tcBorders>
            <w:gridSpan w:val="4"/>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9"/>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3200" w:type="dxa"/>
            <w:vAlign w:val="bottom"/>
            <w:gridSpan w:val="2"/>
            <w:shd w:val="clear" w:color="auto" w:fill="CFF0FC"/>
          </w:tcPr>
          <w:p>
            <w:pPr>
              <w:jc w:val="right"/>
              <w:ind w:right="26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Vendor costs</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(non income)</w:t>
            </w:r>
          </w:p>
        </w:tc>
        <w:tc>
          <w:tcPr>
            <w:tcW w:w="3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3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Derivatives</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shd w:val="clear" w:color="auto" w:fill="CFF0FC"/>
          </w:tcPr>
          <w:p>
            <w:pPr>
              <w:spacing w:after="0"/>
              <w:rPr>
                <w:sz w:val="18"/>
                <w:szCs w:val="18"/>
                <w:color w:val="auto"/>
              </w:rPr>
            </w:pPr>
          </w:p>
        </w:tc>
        <w:tc>
          <w:tcPr>
            <w:tcW w:w="286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0" w:type="dxa"/>
            <w:vAlign w:val="bottom"/>
            <w:tcBorders>
              <w:right w:val="single" w:sz="8" w:color="CFF0FC"/>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Commissions</w:t>
            </w:r>
          </w:p>
        </w:tc>
        <w:tc>
          <w:tcPr>
            <w:tcW w:w="34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Borders>
              <w:bottom w:val="single" w:sz="8" w:color="CFF0FC"/>
            </w:tcBorders>
            <w:shd w:val="clear" w:color="auto" w:fill="CFF0FC"/>
          </w:tcPr>
          <w:p>
            <w:pPr>
              <w:spacing w:after="0"/>
              <w:rPr>
                <w:sz w:val="18"/>
                <w:szCs w:val="18"/>
                <w:color w:val="auto"/>
              </w:rPr>
            </w:pPr>
          </w:p>
        </w:tc>
        <w:tc>
          <w:tcPr>
            <w:tcW w:w="286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400" w:type="dxa"/>
            <w:vAlign w:val="bottom"/>
            <w:tcBorders>
              <w:bottom w:val="single" w:sz="8" w:color="CFF0FC"/>
              <w:right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Pr>
          <w:p>
            <w:pPr>
              <w:spacing w:after="0"/>
              <w:rPr>
                <w:sz w:val="18"/>
                <w:szCs w:val="18"/>
                <w:color w:val="auto"/>
              </w:rPr>
            </w:pPr>
          </w:p>
        </w:tc>
        <w:tc>
          <w:tcPr>
            <w:tcW w:w="2860" w:type="dxa"/>
            <w:vAlign w:val="bottom"/>
          </w:tcPr>
          <w:p>
            <w:pPr>
              <w:jc w:val="right"/>
              <w:ind w:right="2679"/>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0" w:type="dxa"/>
            <w:vAlign w:val="bottom"/>
          </w:tcPr>
          <w:p>
            <w:pPr>
              <w:spacing w:after="0"/>
              <w:rPr>
                <w:sz w:val="24"/>
                <w:szCs w:val="24"/>
                <w:color w:val="auto"/>
              </w:rPr>
            </w:pPr>
          </w:p>
        </w:tc>
        <w:tc>
          <w:tcPr>
            <w:tcW w:w="3200" w:type="dxa"/>
            <w:vAlign w:val="bottom"/>
            <w:gridSpan w:val="2"/>
          </w:tcPr>
          <w:p>
            <w:pPr>
              <w:jc w:val="right"/>
              <w:ind w:right="859"/>
              <w:spacing w:after="0"/>
              <w:rPr>
                <w:sz w:val="20"/>
                <w:szCs w:val="20"/>
                <w:color w:val="auto"/>
              </w:rPr>
            </w:pPr>
            <w:r>
              <w:rPr>
                <w:rFonts w:ascii="Times New Roman" w:cs="Times New Roman" w:eastAsia="Times New Roman" w:hAnsi="Times New Roman"/>
                <w:sz w:val="18"/>
                <w:szCs w:val="18"/>
                <w:color w:val="auto"/>
              </w:rPr>
              <w:t>8</w:t>
            </w: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4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-3350895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-3350895</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-3068320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-942340</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4. 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0" w:type="dxa"/>
            <w:vAlign w:val="bottom"/>
          </w:tcPr>
          <w:p>
            <w:pPr>
              <w:spacing w:after="0"/>
              <w:rPr>
                <w:sz w:val="13"/>
                <w:szCs w:val="13"/>
                <w:color w:val="auto"/>
              </w:rPr>
            </w:pPr>
          </w:p>
        </w:tc>
        <w:tc>
          <w:tcPr>
            <w:tcW w:w="1000" w:type="dxa"/>
            <w:vAlign w:val="bottom"/>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w w:val="99"/>
              </w:rPr>
              <w:t>Financial</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Translation</w:t>
            </w:r>
          </w:p>
        </w:tc>
        <w:tc>
          <w:tcPr>
            <w:tcW w:w="100" w:type="dxa"/>
            <w:vAlign w:val="bottom"/>
          </w:tcPr>
          <w:p>
            <w:pPr>
              <w:spacing w:after="0"/>
              <w:rPr>
                <w:sz w:val="12"/>
                <w:szCs w:val="12"/>
                <w:color w:val="auto"/>
              </w:rPr>
            </w:pPr>
          </w:p>
        </w:tc>
        <w:tc>
          <w:tcPr>
            <w:tcW w:w="10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Plans,</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5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Borders>
              <w:bottom w:val="single" w:sz="8" w:color="auto"/>
            </w:tcBorders>
          </w:tcPr>
          <w:p>
            <w:pPr>
              <w:jc w:val="center"/>
              <w:ind w:left="128"/>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5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(1,375)</w:t>
            </w:r>
          </w:p>
        </w:tc>
        <w:tc>
          <w:tcPr>
            <w:tcW w:w="1100" w:type="dxa"/>
            <w:vAlign w:val="bottom"/>
            <w:gridSpan w:val="2"/>
            <w:shd w:val="clear" w:color="auto" w:fill="CFF0FC"/>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(1,424)</w:t>
            </w:r>
          </w:p>
        </w:tc>
        <w:tc>
          <w:tcPr>
            <w:tcW w:w="0" w:type="dxa"/>
            <w:vAlign w:val="bottom"/>
          </w:tcPr>
          <w:p>
            <w:pPr>
              <w:spacing w:after="0"/>
              <w:rPr>
                <w:sz w:val="1"/>
                <w:szCs w:val="1"/>
                <w:color w:val="auto"/>
              </w:rPr>
            </w:pPr>
          </w:p>
        </w:tc>
      </w:tr>
      <w:tr>
        <w:trPr>
          <w:trHeight w:val="216"/>
        </w:trPr>
        <w:tc>
          <w:tcPr>
            <w:tcW w:w="5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Accumulated other comprehensive loss before reclassifications</w:t>
            </w: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55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loss</w:t>
            </w: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5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(1,397)</w:t>
            </w:r>
          </w:p>
        </w:tc>
        <w:tc>
          <w:tcPr>
            <w:tcW w:w="1100" w:type="dxa"/>
            <w:vAlign w:val="bottom"/>
            <w:gridSpan w:val="2"/>
          </w:tcPr>
          <w:p>
            <w:pPr>
              <w:jc w:val="right"/>
              <w:ind w:right="82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(1,445)</w:t>
            </w: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-170815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-170815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-170815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components of amounts reclassified from accumulated other comprehensive loss during the three and nine months ended September 30, 2026 include certain currency translation adjustments recognized in earnings, gains and losses reclassified on cash flow hedges when the hedged transaction occurs (see Note 11 to the Consolidated Financial Statements for further discussion) and the amortization of net actuarial gains and losses, prior service credits, settlements, and curtailments, which are included in the computation of net periodic pension cost.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two reportable segments, Energy Equipment and Energy Products and Services, based on the products and services provided, customer base, and operating environment. These reportable segments are determined as those businesses for which results are reviewed regularly by our Chief Executive Officer, who is identified as the Chief Operating Decision Maker (“CODM”), in allocating resources and assessing performance.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financial data by business segment (in millions):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1"/>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gridSpan w:val="4"/>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380" w:type="dxa"/>
            <w:vAlign w:val="bottom"/>
            <w:gridSpan w:val="5"/>
          </w:tcPr>
          <w:p>
            <w:pPr>
              <w:jc w:val="right"/>
              <w:ind w:right="154"/>
              <w:spacing w:after="0" w:line="109" w:lineRule="exact"/>
              <w:rPr>
                <w:sz w:val="20"/>
                <w:szCs w:val="20"/>
                <w:color w:val="auto"/>
              </w:rPr>
            </w:pPr>
            <w:r>
              <w:rPr>
                <w:rFonts w:ascii="Times New Roman" w:cs="Times New Roman" w:eastAsia="Times New Roman" w:hAnsi="Times New Roman"/>
                <w:sz w:val="12"/>
                <w:szCs w:val="12"/>
                <w:b w:val="1"/>
                <w:bCs w:val="1"/>
                <w:color w:val="auto"/>
              </w:rPr>
              <w:t>Energy Products and</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60" w:type="dxa"/>
            <w:vAlign w:val="bottom"/>
            <w:gridSpan w:val="5"/>
          </w:tcPr>
          <w:p>
            <w:pPr>
              <w:jc w:val="right"/>
              <w:ind w:right="108"/>
              <w:spacing w:after="0" w:line="109" w:lineRule="exact"/>
              <w:rPr>
                <w:sz w:val="20"/>
                <w:szCs w:val="20"/>
                <w:color w:val="auto"/>
              </w:rPr>
            </w:pPr>
            <w:r>
              <w:rPr>
                <w:rFonts w:ascii="Times New Roman" w:cs="Times New Roman" w:eastAsia="Times New Roman" w:hAnsi="Times New Roman"/>
                <w:sz w:val="12"/>
                <w:szCs w:val="12"/>
                <w:b w:val="1"/>
                <w:bCs w:val="1"/>
                <w:color w:val="auto"/>
              </w:rPr>
              <w:t>Energy Products and</w:t>
            </w:r>
          </w:p>
        </w:tc>
        <w:tc>
          <w:tcPr>
            <w:tcW w:w="100" w:type="dxa"/>
            <w:vAlign w:val="bottom"/>
          </w:tcPr>
          <w:p>
            <w:pPr>
              <w:spacing w:after="0"/>
              <w:rPr>
                <w:sz w:val="9"/>
                <w:szCs w:val="9"/>
                <w:color w:val="auto"/>
              </w:rPr>
            </w:pPr>
          </w:p>
        </w:tc>
      </w:tr>
      <w:tr>
        <w:trPr>
          <w:trHeight w:val="155"/>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Borders>
              <w:bottom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Energy Equipment</w:t>
            </w:r>
          </w:p>
        </w:tc>
        <w:tc>
          <w:tcPr>
            <w:tcW w:w="220" w:type="dxa"/>
            <w:vAlign w:val="bottom"/>
            <w:gridSpan w:val="2"/>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8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5"/>
          </w:tcPr>
          <w:p>
            <w:pPr>
              <w:jc w:val="right"/>
              <w:ind w:right="181"/>
              <w:spacing w:after="0"/>
              <w:rPr>
                <w:sz w:val="20"/>
                <w:szCs w:val="20"/>
                <w:color w:val="auto"/>
              </w:rPr>
            </w:pPr>
            <w:r>
              <w:rPr>
                <w:rFonts w:ascii="Times New Roman" w:cs="Times New Roman" w:eastAsia="Times New Roman" w:hAnsi="Times New Roman"/>
                <w:sz w:val="13"/>
                <w:szCs w:val="13"/>
                <w:b w:val="1"/>
                <w:bCs w:val="1"/>
                <w:color w:val="auto"/>
                <w:w w:val="96"/>
              </w:rPr>
              <w:t>Energy Equipment</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20" w:type="dxa"/>
            <w:vAlign w:val="bottom"/>
            <w:gridSpan w:val="2"/>
            <w:shd w:val="clear" w:color="auto" w:fill="CFF0FC"/>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1,201</w:t>
            </w: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1,025</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1,230</w:t>
            </w:r>
          </w:p>
        </w:tc>
        <w:tc>
          <w:tcPr>
            <w:tcW w:w="620" w:type="dxa"/>
            <w:vAlign w:val="bottom"/>
            <w:gridSpan w:val="2"/>
            <w:shd w:val="clear" w:color="auto" w:fill="CFF0FC"/>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946</w:t>
            </w:r>
          </w:p>
        </w:tc>
        <w:tc>
          <w:tcPr>
            <w:tcW w:w="100" w:type="dxa"/>
            <w:vAlign w:val="bottom"/>
            <w:shd w:val="clear" w:color="auto" w:fill="CFF0FC"/>
          </w:tcPr>
          <w:p>
            <w:pPr>
              <w:spacing w:after="0"/>
              <w:rPr>
                <w:sz w:val="12"/>
                <w:szCs w:val="12"/>
                <w:color w:val="auto"/>
              </w:rPr>
            </w:pPr>
          </w:p>
        </w:tc>
      </w:tr>
      <w:tr>
        <w:trPr>
          <w:trHeight w:val="148"/>
        </w:trPr>
        <w:tc>
          <w:tcPr>
            <w:tcW w:w="3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2"/>
                <w:szCs w:val="12"/>
                <w:color w:val="auto"/>
              </w:rPr>
            </w:pPr>
          </w:p>
        </w:tc>
      </w:tr>
      <w:tr>
        <w:trPr>
          <w:trHeight w:val="142"/>
        </w:trPr>
        <w:tc>
          <w:tcPr>
            <w:tcW w:w="310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w:t>
            </w: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971</w:t>
            </w:r>
          </w:p>
        </w:tc>
        <w:tc>
          <w:tcPr>
            <w:tcW w:w="100" w:type="dxa"/>
            <w:vAlign w:val="bottom"/>
            <w:shd w:val="clear" w:color="auto" w:fill="CFF0FC"/>
          </w:tcPr>
          <w:p>
            <w:pPr>
              <w:spacing w:after="0"/>
              <w:rPr>
                <w:sz w:val="12"/>
                <w:szCs w:val="12"/>
                <w:color w:val="auto"/>
              </w:rPr>
            </w:pPr>
          </w:p>
        </w:tc>
      </w:tr>
      <w:tr>
        <w:trPr>
          <w:trHeight w:val="148"/>
        </w:trPr>
        <w:tc>
          <w:tcPr>
            <w:tcW w:w="3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significant segment expenses:</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916</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778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932</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00" w:type="dxa"/>
            <w:vAlign w:val="bottom"/>
          </w:tcPr>
          <w:p>
            <w:pPr>
              <w:spacing w:after="0"/>
              <w:rPr>
                <w:sz w:val="12"/>
                <w:szCs w:val="12"/>
                <w:color w:val="auto"/>
              </w:rPr>
            </w:pPr>
          </w:p>
        </w:tc>
      </w:tr>
      <w:tr>
        <w:trPr>
          <w:trHeight w:val="149"/>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117</w:t>
            </w: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FF0FC"/>
          </w:tcPr>
          <w:p>
            <w:pPr>
              <w:spacing w:after="0"/>
              <w:rPr>
                <w:sz w:val="12"/>
                <w:szCs w:val="12"/>
                <w:color w:val="auto"/>
              </w:rPr>
            </w:pP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30</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2"/>
                <w:szCs w:val="12"/>
                <w:color w:val="auto"/>
              </w:rPr>
            </w:pP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(Gain) loss on fixed assets</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58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49"/>
              <w:spacing w:after="0" w:line="149" w:lineRule="exact"/>
              <w:rPr>
                <w:sz w:val="20"/>
                <w:szCs w:val="20"/>
                <w:color w:val="auto"/>
              </w:rPr>
            </w:pPr>
            <w:r>
              <w:rPr>
                <w:rFonts w:ascii="Times New Roman" w:cs="Times New Roman" w:eastAsia="Times New Roman" w:hAnsi="Times New Roman"/>
                <w:sz w:val="14"/>
                <w:szCs w:val="14"/>
                <w:color w:val="auto"/>
              </w:rPr>
              <w:t>(1)</w:t>
            </w: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31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FF0FC"/>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significant segment expenses</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4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1,084</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962</w:t>
            </w:r>
          </w:p>
        </w:tc>
        <w:tc>
          <w:tcPr>
            <w:tcW w:w="100" w:type="dxa"/>
            <w:vAlign w:val="bottom"/>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1,096</w:t>
            </w:r>
          </w:p>
        </w:tc>
        <w:tc>
          <w:tcPr>
            <w:tcW w:w="620" w:type="dxa"/>
            <w:vAlign w:val="bottom"/>
            <w:gridSpan w:val="2"/>
          </w:tcPr>
          <w:p>
            <w:pPr>
              <w:jc w:val="right"/>
              <w:ind w:right="212"/>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892</w:t>
            </w:r>
          </w:p>
        </w:tc>
        <w:tc>
          <w:tcPr>
            <w:tcW w:w="100" w:type="dxa"/>
            <w:vAlign w:val="bottom"/>
          </w:tcPr>
          <w:p>
            <w:pPr>
              <w:spacing w:after="0"/>
              <w:rPr>
                <w:sz w:val="12"/>
                <w:szCs w:val="12"/>
                <w:color w:val="auto"/>
              </w:rPr>
            </w:pPr>
          </w:p>
        </w:tc>
      </w:tr>
      <w:tr>
        <w:trPr>
          <w:trHeight w:val="148"/>
        </w:trPr>
        <w:tc>
          <w:tcPr>
            <w:tcW w:w="310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26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auto"/>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40" w:type="dxa"/>
            <w:vAlign w:val="bottom"/>
            <w:tcBorders>
              <w:bottom w:val="single" w:sz="8" w:color="CFF0FC"/>
            </w:tcBorders>
            <w:shd w:val="clear" w:color="auto" w:fill="CFF0FC"/>
          </w:tcPr>
          <w:p>
            <w:pPr>
              <w:spacing w:after="0"/>
              <w:rPr>
                <w:sz w:val="12"/>
                <w:szCs w:val="12"/>
                <w:color w:val="auto"/>
              </w:rPr>
            </w:pPr>
          </w:p>
        </w:tc>
        <w:tc>
          <w:tcPr>
            <w:tcW w:w="80" w:type="dxa"/>
            <w:vAlign w:val="bottom"/>
            <w:tcBorders>
              <w:bottom w:val="single" w:sz="8" w:color="CFF0FC"/>
              <w:right w:val="single" w:sz="8" w:color="CFF0FC"/>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0" w:type="dxa"/>
            <w:vAlign w:val="bottom"/>
            <w:tcBorders>
              <w:bottom w:val="single" w:sz="8" w:color="auto"/>
            </w:tcBorders>
            <w:shd w:val="clear" w:color="auto" w:fill="CFF0FC"/>
          </w:tcPr>
          <w:p>
            <w:pPr>
              <w:spacing w:after="0"/>
              <w:rPr>
                <w:sz w:val="12"/>
                <w:szCs w:val="12"/>
                <w:color w:val="auto"/>
              </w:rPr>
            </w:pPr>
          </w:p>
        </w:tc>
        <w:tc>
          <w:tcPr>
            <w:tcW w:w="16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4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w:t>
            </w:r>
          </w:p>
        </w:tc>
        <w:tc>
          <w:tcPr>
            <w:tcW w:w="100" w:type="dxa"/>
            <w:vAlign w:val="bottom"/>
            <w:tcBorders>
              <w:bottom w:val="single" w:sz="8" w:color="CFF0FC"/>
            </w:tcBorders>
            <w:shd w:val="clear" w:color="auto" w:fill="CFF0FC"/>
          </w:tcPr>
          <w:p>
            <w:pPr>
              <w:spacing w:after="0"/>
              <w:rPr>
                <w:sz w:val="12"/>
                <w:szCs w:val="12"/>
                <w:color w:val="auto"/>
              </w:rPr>
            </w:pPr>
          </w:p>
        </w:tc>
        <w:tc>
          <w:tcPr>
            <w:tcW w:w="16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2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00" w:type="dxa"/>
            <w:vAlign w:val="bottom"/>
            <w:tcBorders>
              <w:bottom w:val="single" w:sz="8" w:color="auto"/>
            </w:tcBorders>
            <w:shd w:val="clear" w:color="auto" w:fill="CFF0FC"/>
          </w:tcPr>
          <w:p>
            <w:pPr>
              <w:spacing w:after="0"/>
              <w:rPr>
                <w:sz w:val="12"/>
                <w:szCs w:val="12"/>
                <w:color w:val="auto"/>
              </w:rPr>
            </w:pPr>
          </w:p>
        </w:tc>
        <w:tc>
          <w:tcPr>
            <w:tcW w:w="28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Segment operating profit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122</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88</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130</w:t>
            </w:r>
          </w:p>
        </w:tc>
        <w:tc>
          <w:tcPr>
            <w:tcW w:w="260" w:type="dxa"/>
            <w:vAlign w:val="bottom"/>
          </w:tcPr>
          <w:p>
            <w:pPr>
              <w:spacing w:after="0"/>
              <w:rPr>
                <w:sz w:val="12"/>
                <w:szCs w:val="12"/>
                <w:color w:val="auto"/>
              </w:rPr>
            </w:pPr>
          </w:p>
        </w:tc>
        <w:tc>
          <w:tcPr>
            <w:tcW w:w="360" w:type="dxa"/>
            <w:vAlign w:val="bottom"/>
            <w:tcBorders>
              <w:bottom w:val="single" w:sz="8" w:color="auto"/>
            </w:tcBorders>
          </w:tcPr>
          <w:p>
            <w:pPr>
              <w:jc w:val="right"/>
              <w:ind w:right="212"/>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2"/>
                <w:szCs w:val="12"/>
                <w:color w:val="auto"/>
              </w:rPr>
            </w:pPr>
          </w:p>
        </w:tc>
      </w:tr>
      <w:tr>
        <w:trPr>
          <w:trHeight w:val="20"/>
        </w:trPr>
        <w:tc>
          <w:tcPr>
            <w:tcW w:w="3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3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12"/>
          </w:tcPr>
          <w:p>
            <w:pPr>
              <w:ind w:left="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2026</w:t>
            </w:r>
          </w:p>
        </w:tc>
        <w:tc>
          <w:tcPr>
            <w:tcW w:w="5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41"/>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gridSpan w:val="2"/>
          </w:tcPr>
          <w:p>
            <w:pPr>
              <w:jc w:val="right"/>
              <w:ind w:right="112"/>
              <w:spacing w:after="0" w:line="109" w:lineRule="exact"/>
              <w:rPr>
                <w:sz w:val="20"/>
                <w:szCs w:val="20"/>
                <w:color w:val="auto"/>
              </w:rPr>
            </w:pPr>
            <w:r>
              <w:rPr>
                <w:rFonts w:ascii="Times New Roman" w:cs="Times New Roman" w:eastAsia="Times New Roman" w:hAnsi="Times New Roman"/>
                <w:sz w:val="12"/>
                <w:szCs w:val="12"/>
                <w:b w:val="1"/>
                <w:bCs w:val="1"/>
                <w:color w:val="auto"/>
              </w:rPr>
              <w:t>Energy</w:t>
            </w: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gridSpan w:val="3"/>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Elims. and</w:t>
            </w: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50"/>
              <w:spacing w:after="0" w:line="109" w:lineRule="exact"/>
              <w:rPr>
                <w:sz w:val="20"/>
                <w:szCs w:val="20"/>
                <w:color w:val="auto"/>
              </w:rPr>
            </w:pPr>
            <w:r>
              <w:rPr>
                <w:rFonts w:ascii="Times New Roman" w:cs="Times New Roman" w:eastAsia="Times New Roman" w:hAnsi="Times New Roman"/>
                <w:sz w:val="12"/>
                <w:szCs w:val="12"/>
                <w:b w:val="1"/>
                <w:bCs w:val="1"/>
                <w:color w:val="auto"/>
              </w:rPr>
              <w:t>Energy</w:t>
            </w:r>
          </w:p>
        </w:tc>
        <w:tc>
          <w:tcPr>
            <w:tcW w:w="220" w:type="dxa"/>
            <w:vAlign w:val="bottom"/>
          </w:tcPr>
          <w:p>
            <w:pPr>
              <w:spacing w:after="0"/>
              <w:rPr>
                <w:sz w:val="9"/>
                <w:szCs w:val="9"/>
                <w:color w:val="auto"/>
              </w:rPr>
            </w:pPr>
          </w:p>
        </w:tc>
        <w:tc>
          <w:tcPr>
            <w:tcW w:w="880" w:type="dxa"/>
            <w:vAlign w:val="bottom"/>
            <w:gridSpan w:val="4"/>
          </w:tcPr>
          <w:p>
            <w:pPr>
              <w:jc w:val="center"/>
              <w:ind w:right="140"/>
              <w:spacing w:after="0" w:line="109" w:lineRule="exact"/>
              <w:rPr>
                <w:sz w:val="20"/>
                <w:szCs w:val="20"/>
                <w:color w:val="auto"/>
              </w:rPr>
            </w:pPr>
            <w:r>
              <w:rPr>
                <w:rFonts w:ascii="Times New Roman" w:cs="Times New Roman" w:eastAsia="Times New Roman" w:hAnsi="Times New Roman"/>
                <w:sz w:val="12"/>
                <w:szCs w:val="12"/>
                <w:b w:val="1"/>
                <w:bCs w:val="1"/>
                <w:color w:val="auto"/>
              </w:rPr>
              <w:t>Elims. and</w:t>
            </w: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30"/>
              <w:spacing w:after="0" w:line="135" w:lineRule="exact"/>
              <w:rPr>
                <w:sz w:val="20"/>
                <w:szCs w:val="20"/>
                <w:color w:val="auto"/>
              </w:rPr>
            </w:pPr>
            <w:r>
              <w:rPr>
                <w:rFonts w:ascii="Times New Roman" w:cs="Times New Roman" w:eastAsia="Times New Roman" w:hAnsi="Times New Roman"/>
                <w:sz w:val="13"/>
                <w:szCs w:val="13"/>
                <w:b w:val="1"/>
                <w:bCs w:val="1"/>
                <w:color w:val="auto"/>
              </w:rPr>
              <w:t>Energy</w:t>
            </w:r>
          </w:p>
        </w:tc>
        <w:tc>
          <w:tcPr>
            <w:tcW w:w="960" w:type="dxa"/>
            <w:vAlign w:val="bottom"/>
            <w:gridSpan w:val="4"/>
          </w:tcPr>
          <w:p>
            <w:pPr>
              <w:ind w:left="220"/>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Products and</w:t>
            </w: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jc w:val="center"/>
              <w:ind w:right="18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corporate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gridSpan w:val="5"/>
          </w:tcPr>
          <w:p>
            <w:pPr>
              <w:jc w:val="right"/>
              <w:ind w:right="300"/>
              <w:spacing w:after="0" w:line="135" w:lineRule="exact"/>
              <w:rPr>
                <w:sz w:val="20"/>
                <w:szCs w:val="20"/>
                <w:color w:val="auto"/>
              </w:rPr>
            </w:pPr>
            <w:r>
              <w:rPr>
                <w:rFonts w:ascii="Times New Roman" w:cs="Times New Roman" w:eastAsia="Times New Roman" w:hAnsi="Times New Roman"/>
                <w:sz w:val="13"/>
                <w:szCs w:val="13"/>
                <w:b w:val="1"/>
                <w:bCs w:val="1"/>
                <w:color w:val="auto"/>
              </w:rPr>
              <w:t>Energy</w:t>
            </w:r>
          </w:p>
        </w:tc>
        <w:tc>
          <w:tcPr>
            <w:tcW w:w="120" w:type="dxa"/>
            <w:vAlign w:val="bottom"/>
          </w:tcPr>
          <w:p>
            <w:pPr>
              <w:spacing w:after="0"/>
              <w:rPr>
                <w:sz w:val="11"/>
                <w:szCs w:val="11"/>
                <w:color w:val="auto"/>
              </w:rPr>
            </w:pPr>
          </w:p>
        </w:tc>
        <w:tc>
          <w:tcPr>
            <w:tcW w:w="780" w:type="dxa"/>
            <w:vAlign w:val="bottom"/>
            <w:gridSpan w:val="2"/>
          </w:tcPr>
          <w:p>
            <w:pPr>
              <w:ind w:left="20"/>
              <w:spacing w:after="0" w:line="135" w:lineRule="exact"/>
              <w:rPr>
                <w:sz w:val="20"/>
                <w:szCs w:val="20"/>
                <w:color w:val="auto"/>
              </w:rPr>
            </w:pPr>
            <w:r>
              <w:rPr>
                <w:rFonts w:ascii="Times New Roman" w:cs="Times New Roman" w:eastAsia="Times New Roman" w:hAnsi="Times New Roman"/>
                <w:sz w:val="13"/>
                <w:szCs w:val="13"/>
                <w:b w:val="1"/>
                <w:bCs w:val="1"/>
                <w:color w:val="auto"/>
                <w:w w:val="99"/>
              </w:rPr>
              <w:t>Products and</w:t>
            </w:r>
          </w:p>
        </w:tc>
        <w:tc>
          <w:tcPr>
            <w:tcW w:w="220" w:type="dxa"/>
            <w:vAlign w:val="bottom"/>
          </w:tcPr>
          <w:p>
            <w:pPr>
              <w:spacing w:after="0"/>
              <w:rPr>
                <w:sz w:val="11"/>
                <w:szCs w:val="11"/>
                <w:color w:val="auto"/>
              </w:rPr>
            </w:pPr>
          </w:p>
        </w:tc>
        <w:tc>
          <w:tcPr>
            <w:tcW w:w="880" w:type="dxa"/>
            <w:vAlign w:val="bottom"/>
            <w:gridSpan w:val="4"/>
          </w:tcPr>
          <w:p>
            <w:pPr>
              <w:jc w:val="center"/>
              <w:ind w:right="16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corporate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3"/>
                <w:szCs w:val="13"/>
                <w:b w:val="1"/>
                <w:bCs w:val="1"/>
                <w:color w:val="auto"/>
                <w:w w:val="93"/>
              </w:rPr>
              <w:t>Equipment</w:t>
            </w:r>
          </w:p>
        </w:tc>
        <w:tc>
          <w:tcPr>
            <w:tcW w:w="2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right"/>
              <w:ind w:right="72"/>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costs (2)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3"/>
                <w:szCs w:val="13"/>
                <w:b w:val="1"/>
                <w:bCs w:val="1"/>
                <w:color w:val="auto"/>
              </w:rPr>
              <w:t>Equipment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2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112"/>
              <w:spacing w:after="0"/>
              <w:rPr>
                <w:sz w:val="20"/>
                <w:szCs w:val="20"/>
                <w:color w:val="auto"/>
              </w:rPr>
            </w:pPr>
            <w:r>
              <w:rPr>
                <w:rFonts w:ascii="Times New Roman" w:cs="Times New Roman" w:eastAsia="Times New Roman" w:hAnsi="Times New Roman"/>
                <w:sz w:val="13"/>
                <w:szCs w:val="13"/>
                <w:b w:val="1"/>
                <w:bCs w:val="1"/>
                <w:color w:val="auto"/>
                <w:w w:val="97"/>
              </w:rPr>
              <w:t>costs (2)</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42"/>
        </w:trPr>
        <w:tc>
          <w:tcPr>
            <w:tcW w:w="310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operating profit</w:t>
            </w:r>
          </w:p>
        </w:tc>
        <w:tc>
          <w:tcPr>
            <w:tcW w:w="3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w:t>
            </w:r>
          </w:p>
        </w:tc>
        <w:tc>
          <w:tcPr>
            <w:tcW w:w="34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88</w:t>
            </w:r>
          </w:p>
        </w:tc>
        <w:tc>
          <w:tcPr>
            <w:tcW w:w="3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right w:val="single" w:sz="8" w:color="CFF0FC"/>
            </w:tcBorders>
            <w:gridSpan w:val="3"/>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220" w:type="dxa"/>
            <w:vAlign w:val="bottom"/>
            <w:gridSpan w:val="2"/>
            <w:shd w:val="clear" w:color="auto" w:fill="CFF0FC"/>
          </w:tcPr>
          <w:p>
            <w:pPr>
              <w:jc w:val="right"/>
              <w:ind w:right="15"/>
              <w:spacing w:after="0" w:line="142" w:lineRule="exact"/>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210</w:t>
            </w:r>
          </w:p>
        </w:tc>
        <w:tc>
          <w:tcPr>
            <w:tcW w:w="140" w:type="dxa"/>
            <w:vAlign w:val="bottom"/>
            <w:shd w:val="clear" w:color="auto" w:fill="CFF0FC"/>
          </w:tcPr>
          <w:p>
            <w:pPr>
              <w:spacing w:after="0"/>
              <w:rPr>
                <w:sz w:val="12"/>
                <w:szCs w:val="12"/>
                <w:color w:val="auto"/>
              </w:rPr>
            </w:pPr>
          </w:p>
        </w:tc>
        <w:tc>
          <w:tcPr>
            <w:tcW w:w="480" w:type="dxa"/>
            <w:vAlign w:val="bottom"/>
            <w:gridSpan w:val="2"/>
            <w:shd w:val="clear" w:color="auto" w:fill="CFF0FC"/>
          </w:tcPr>
          <w:p>
            <w:pPr>
              <w:jc w:val="right"/>
              <w:ind w:right="254"/>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130</w:t>
            </w:r>
          </w:p>
        </w:tc>
        <w:tc>
          <w:tcPr>
            <w:tcW w:w="80" w:type="dxa"/>
            <w:vAlign w:val="bottom"/>
            <w:shd w:val="clear" w:color="auto" w:fill="CFF0FC"/>
          </w:tcPr>
          <w:p>
            <w:pPr>
              <w:spacing w:after="0"/>
              <w:rPr>
                <w:sz w:val="12"/>
                <w:szCs w:val="12"/>
                <w:color w:val="auto"/>
              </w:rPr>
            </w:pPr>
          </w:p>
        </w:tc>
        <w:tc>
          <w:tcPr>
            <w:tcW w:w="240" w:type="dxa"/>
            <w:vAlign w:val="bottom"/>
            <w:gridSpan w:val="2"/>
            <w:shd w:val="clear" w:color="auto" w:fill="CFF0FC"/>
          </w:tcPr>
          <w:p>
            <w:pPr>
              <w:ind w:lef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w:t>
            </w:r>
          </w:p>
        </w:tc>
        <w:tc>
          <w:tcPr>
            <w:tcW w:w="380" w:type="dxa"/>
            <w:vAlign w:val="bottom"/>
            <w:gridSpan w:val="2"/>
            <w:shd w:val="clear" w:color="auto" w:fill="CFF0FC"/>
          </w:tcPr>
          <w:p>
            <w:pPr>
              <w:jc w:val="right"/>
              <w:ind w:right="41"/>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FF0FC"/>
          </w:tcPr>
          <w:p>
            <w:pPr>
              <w:jc w:val="right"/>
              <w:ind w:right="4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100" w:type="dxa"/>
            <w:vAlign w:val="bottom"/>
            <w:shd w:val="clear" w:color="auto" w:fill="CFF0FC"/>
          </w:tcPr>
          <w:p>
            <w:pPr>
              <w:spacing w:after="0"/>
              <w:rPr>
                <w:sz w:val="12"/>
                <w:szCs w:val="12"/>
                <w:color w:val="auto"/>
              </w:rPr>
            </w:pPr>
          </w:p>
        </w:tc>
      </w:tr>
      <w:tr>
        <w:trPr>
          <w:trHeight w:val="149"/>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Corporate and other unallocated (3)</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48"/>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and financial costs</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3"/>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20" w:type="dxa"/>
            <w:vAlign w:val="bottom"/>
            <w:gridSpan w:val="3"/>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(22)</w:t>
            </w: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2"/>
                <w:szCs w:val="12"/>
                <w:color w:val="auto"/>
              </w:rPr>
            </w:pPr>
          </w:p>
        </w:tc>
      </w:tr>
      <w:tr>
        <w:trPr>
          <w:trHeight w:val="149"/>
        </w:trPr>
        <w:tc>
          <w:tcPr>
            <w:tcW w:w="310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income (loss) in unconsolidated affiliates</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4"/>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w:t>
            </w:r>
          </w:p>
        </w:tc>
        <w:tc>
          <w:tcPr>
            <w:tcW w:w="60" w:type="dxa"/>
            <w:vAlign w:val="bottom"/>
            <w:shd w:val="clear" w:color="auto" w:fill="CFF0FC"/>
          </w:tcPr>
          <w:p>
            <w:pPr>
              <w:spacing w:after="0"/>
              <w:rPr>
                <w:sz w:val="12"/>
                <w:szCs w:val="12"/>
                <w:color w:val="auto"/>
              </w:rPr>
            </w:pPr>
          </w:p>
        </w:tc>
        <w:tc>
          <w:tcPr>
            <w:tcW w:w="780" w:type="dxa"/>
            <w:vAlign w:val="bottom"/>
            <w:tcBorders>
              <w:right w:val="single" w:sz="8" w:color="CFF0FC"/>
            </w:tcBorders>
            <w:gridSpan w:val="3"/>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74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(7)</w:t>
            </w: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09"/>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6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310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expenses, net</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3"/>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(12)</w:t>
            </w:r>
          </w:p>
        </w:tc>
      </w:tr>
      <w:tr>
        <w:trPr>
          <w:trHeight w:val="182"/>
        </w:trPr>
        <w:tc>
          <w:tcPr>
            <w:tcW w:w="310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26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123</w:t>
            </w:r>
          </w:p>
        </w:tc>
        <w:tc>
          <w:tcPr>
            <w:tcW w:w="2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80</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(80)</w:t>
            </w:r>
          </w:p>
        </w:tc>
        <w:tc>
          <w:tcPr>
            <w:tcW w:w="80" w:type="dxa"/>
            <w:vAlign w:val="bottom"/>
            <w:tcBorders>
              <w:bottom w:val="single" w:sz="8" w:color="CFF0FC"/>
              <w:right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6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15"/>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123</w:t>
            </w:r>
          </w:p>
        </w:tc>
        <w:tc>
          <w:tcPr>
            <w:tcW w:w="14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400" w:type="dxa"/>
            <w:vAlign w:val="bottom"/>
            <w:tcBorders>
              <w:top w:val="single" w:sz="8" w:color="auto"/>
              <w:bottom w:val="single" w:sz="8" w:color="auto"/>
            </w:tcBorders>
            <w:shd w:val="clear" w:color="auto" w:fill="CFF0FC"/>
          </w:tcPr>
          <w:p>
            <w:pPr>
              <w:jc w:val="right"/>
              <w:ind w:right="254"/>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00" w:type="dxa"/>
            <w:vAlign w:val="bottom"/>
            <w:tcBorders>
              <w:top w:val="single" w:sz="8" w:color="auto"/>
              <w:bottom w:val="single" w:sz="8" w:color="auto"/>
            </w:tcBorders>
            <w:shd w:val="clear" w:color="auto" w:fill="CFF0FC"/>
          </w:tcPr>
          <w:p>
            <w:pPr>
              <w:spacing w:after="0"/>
              <w:rPr>
                <w:sz w:val="15"/>
                <w:szCs w:val="15"/>
                <w:color w:val="auto"/>
              </w:rPr>
            </w:pPr>
          </w:p>
        </w:tc>
        <w:tc>
          <w:tcPr>
            <w:tcW w:w="28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129</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Borders>
              <w:bottom w:val="single" w:sz="8" w:color="CFF0FC"/>
            </w:tcBorders>
            <w:shd w:val="clear" w:color="auto" w:fill="CFF0FC"/>
          </w:tcPr>
          <w:p>
            <w:pPr>
              <w:spacing w:after="0"/>
              <w:rPr>
                <w:sz w:val="15"/>
                <w:szCs w:val="15"/>
                <w:color w:val="auto"/>
              </w:rPr>
            </w:pPr>
          </w:p>
        </w:tc>
        <w:tc>
          <w:tcPr>
            <w:tcW w:w="160" w:type="dxa"/>
            <w:vAlign w:val="bottom"/>
            <w:tcBorders>
              <w:top w:val="single" w:sz="8" w:color="auto"/>
              <w:bottom w:val="single" w:sz="8" w:color="auto"/>
            </w:tcBorders>
            <w:shd w:val="clear" w:color="auto" w:fill="CFF0FC"/>
          </w:tcPr>
          <w:p>
            <w:pPr>
              <w:jc w:val="right"/>
              <w:ind w:right="41"/>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top w:val="single" w:sz="8" w:color="auto"/>
              <w:bottom w:val="single" w:sz="8" w:color="auto"/>
            </w:tcBorders>
            <w:shd w:val="clear" w:color="auto" w:fill="CFF0FC"/>
          </w:tcPr>
          <w:p>
            <w:pPr>
              <w:jc w:val="right"/>
              <w:ind w:right="480"/>
              <w:spacing w:after="0"/>
              <w:rPr>
                <w:sz w:val="20"/>
                <w:szCs w:val="20"/>
                <w:color w:val="auto"/>
              </w:rPr>
            </w:pPr>
            <w:r>
              <w:rPr>
                <w:rFonts w:ascii="Times New Roman" w:cs="Times New Roman" w:eastAsia="Times New Roman" w:hAnsi="Times New Roman"/>
                <w:sz w:val="11"/>
                <w:szCs w:val="11"/>
                <w:color w:val="auto"/>
                <w:w w:val="71"/>
              </w:rPr>
              <w:t>$</w:t>
            </w:r>
          </w:p>
        </w:tc>
        <w:tc>
          <w:tcPr>
            <w:tcW w:w="280" w:type="dxa"/>
            <w:vAlign w:val="bottom"/>
            <w:tcBorders>
              <w:top w:val="single" w:sz="8" w:color="auto"/>
              <w:bottom w:val="single" w:sz="8" w:color="auto"/>
              <w:right w:val="single" w:sz="8" w:color="CFF0FC"/>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3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10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segment information:</w:t>
            </w:r>
          </w:p>
        </w:tc>
        <w:tc>
          <w:tcPr>
            <w:tcW w:w="2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8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88"/>
        </w:trPr>
        <w:tc>
          <w:tcPr>
            <w:tcW w:w="31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Capital expenditures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34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40" w:type="dxa"/>
            <w:vAlign w:val="bottom"/>
          </w:tcPr>
          <w:p>
            <w:pPr>
              <w:spacing w:after="0"/>
              <w:rPr>
                <w:sz w:val="16"/>
                <w:szCs w:val="16"/>
                <w:color w:val="auto"/>
              </w:rPr>
            </w:pPr>
          </w:p>
        </w:tc>
        <w:tc>
          <w:tcPr>
            <w:tcW w:w="480" w:type="dxa"/>
            <w:vAlign w:val="bottom"/>
            <w:gridSpan w:val="2"/>
          </w:tcPr>
          <w:p>
            <w:pPr>
              <w:jc w:val="right"/>
              <w:ind w:right="254"/>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80" w:type="dxa"/>
            <w:vAlign w:val="bottom"/>
          </w:tcPr>
          <w:p>
            <w:pPr>
              <w:spacing w:after="0"/>
              <w:rPr>
                <w:sz w:val="16"/>
                <w:szCs w:val="16"/>
                <w:color w:val="auto"/>
              </w:rPr>
            </w:pPr>
          </w:p>
        </w:tc>
        <w:tc>
          <w:tcPr>
            <w:tcW w:w="24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380" w:type="dxa"/>
            <w:vAlign w:val="bottom"/>
            <w:gridSpan w:val="2"/>
          </w:tcPr>
          <w:p>
            <w:pPr>
              <w:jc w:val="right"/>
              <w:ind w:right="41"/>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tcPr>
          <w:p>
            <w:pPr>
              <w:spacing w:after="0"/>
              <w:rPr>
                <w:sz w:val="16"/>
                <w:szCs w:val="16"/>
                <w:color w:val="auto"/>
              </w:rPr>
            </w:pPr>
          </w:p>
        </w:tc>
        <w:tc>
          <w:tcPr>
            <w:tcW w:w="7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3768090</wp:posOffset>
            </wp:positionH>
            <wp:positionV relativeFrom="paragraph">
              <wp:posOffset>-1918970</wp:posOffset>
            </wp:positionV>
            <wp:extent cx="6858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-1918970</wp:posOffset>
            </wp:positionV>
            <wp:extent cx="6858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-1918970</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-1918970</wp:posOffset>
            </wp:positionV>
            <wp:extent cx="7747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-1722120</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4874260</wp:posOffset>
            </wp:positionH>
            <wp:positionV relativeFrom="paragraph">
              <wp:posOffset>-1722120</wp:posOffset>
            </wp:positionV>
            <wp:extent cx="6858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-1722120</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-1722120</wp:posOffset>
            </wp:positionV>
            <wp:extent cx="7747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-333375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-316230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-333375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-316230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-333375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-316230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-333375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-316230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-333375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-316230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-333375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5739765</wp:posOffset>
            </wp:positionH>
            <wp:positionV relativeFrom="paragraph">
              <wp:posOffset>-316230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-333375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-316230</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-333375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55"/>
        </w:trPr>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9"/>
          </w:tcPr>
          <w:p>
            <w:pPr>
              <w:jc w:val="right"/>
              <w:ind w:right="210"/>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3"/>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2025</w:t>
            </w: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0" w:type="dxa"/>
            <w:vAlign w:val="bottom"/>
            <w:gridSpan w:val="4"/>
          </w:tcPr>
          <w:p>
            <w:pPr>
              <w:jc w:val="right"/>
              <w:ind w:right="169"/>
              <w:spacing w:after="0" w:line="109" w:lineRule="exact"/>
              <w:rPr>
                <w:sz w:val="20"/>
                <w:szCs w:val="20"/>
                <w:color w:val="auto"/>
              </w:rPr>
            </w:pPr>
            <w:r>
              <w:rPr>
                <w:rFonts w:ascii="Times New Roman" w:cs="Times New Roman" w:eastAsia="Times New Roman" w:hAnsi="Times New Roman"/>
                <w:sz w:val="12"/>
                <w:szCs w:val="12"/>
                <w:b w:val="1"/>
                <w:bCs w:val="1"/>
                <w:color w:val="auto"/>
              </w:rPr>
              <w:t>Energy Products and</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40" w:type="dxa"/>
            <w:vAlign w:val="bottom"/>
            <w:gridSpan w:val="5"/>
          </w:tcPr>
          <w:p>
            <w:pPr>
              <w:jc w:val="right"/>
              <w:ind w:right="108"/>
              <w:spacing w:after="0" w:line="109" w:lineRule="exact"/>
              <w:rPr>
                <w:sz w:val="20"/>
                <w:szCs w:val="20"/>
                <w:color w:val="auto"/>
              </w:rPr>
            </w:pPr>
            <w:r>
              <w:rPr>
                <w:rFonts w:ascii="Times New Roman" w:cs="Times New Roman" w:eastAsia="Times New Roman" w:hAnsi="Times New Roman"/>
                <w:sz w:val="12"/>
                <w:szCs w:val="12"/>
                <w:b w:val="1"/>
                <w:bCs w:val="1"/>
                <w:color w:val="auto"/>
              </w:rPr>
              <w:t>Energy Products and</w:t>
            </w:r>
          </w:p>
        </w:tc>
        <w:tc>
          <w:tcPr>
            <w:tcW w:w="100" w:type="dxa"/>
            <w:vAlign w:val="bottom"/>
          </w:tcPr>
          <w:p>
            <w:pPr>
              <w:spacing w:after="0"/>
              <w:rPr>
                <w:sz w:val="9"/>
                <w:szCs w:val="9"/>
                <w:color w:val="auto"/>
              </w:rPr>
            </w:pPr>
          </w:p>
        </w:tc>
      </w:tr>
      <w:tr>
        <w:trPr>
          <w:trHeight w:val="155"/>
        </w:trPr>
        <w:tc>
          <w:tcPr>
            <w:tcW w:w="3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tcBorders>
              <w:bottom w:val="single" w:sz="8" w:color="auto"/>
            </w:tcBorders>
            <w:gridSpan w:val="5"/>
          </w:tcPr>
          <w:p>
            <w:pPr>
              <w:jc w:val="right"/>
              <w:ind w:right="150"/>
              <w:spacing w:after="0"/>
              <w:rPr>
                <w:sz w:val="20"/>
                <w:szCs w:val="20"/>
                <w:color w:val="auto"/>
              </w:rPr>
            </w:pPr>
            <w:r>
              <w:rPr>
                <w:rFonts w:ascii="Times New Roman" w:cs="Times New Roman" w:eastAsia="Times New Roman" w:hAnsi="Times New Roman"/>
                <w:sz w:val="13"/>
                <w:szCs w:val="13"/>
                <w:b w:val="1"/>
                <w:bCs w:val="1"/>
                <w:color w:val="auto"/>
              </w:rPr>
              <w:t>Energy Equipment</w:t>
            </w:r>
          </w:p>
        </w:tc>
        <w:tc>
          <w:tcPr>
            <w:tcW w:w="300" w:type="dxa"/>
            <w:vAlign w:val="bottom"/>
            <w:gridSpan w:val="2"/>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5"/>
          </w:tcPr>
          <w:p>
            <w:pPr>
              <w:jc w:val="right"/>
              <w:ind w:right="136"/>
              <w:spacing w:after="0"/>
              <w:rPr>
                <w:sz w:val="20"/>
                <w:szCs w:val="20"/>
                <w:color w:val="auto"/>
              </w:rPr>
            </w:pPr>
            <w:r>
              <w:rPr>
                <w:rFonts w:ascii="Times New Roman" w:cs="Times New Roman" w:eastAsia="Times New Roman" w:hAnsi="Times New Roman"/>
                <w:sz w:val="13"/>
                <w:szCs w:val="13"/>
                <w:b w:val="1"/>
                <w:bCs w:val="1"/>
                <w:color w:val="auto"/>
                <w:w w:val="96"/>
              </w:rPr>
              <w:t>Energy Equipment</w:t>
            </w:r>
          </w:p>
        </w:tc>
        <w:tc>
          <w:tcPr>
            <w:tcW w:w="260" w:type="dxa"/>
            <w:vAlign w:val="bottom"/>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right"/>
              <w:ind w:right="428"/>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100" w:type="dxa"/>
            <w:vAlign w:val="bottom"/>
          </w:tcPr>
          <w:p>
            <w:pPr>
              <w:spacing w:after="0"/>
              <w:rPr>
                <w:sz w:val="13"/>
                <w:szCs w:val="13"/>
                <w:color w:val="auto"/>
              </w:rPr>
            </w:pPr>
          </w:p>
        </w:tc>
      </w:tr>
      <w:tr>
        <w:trPr>
          <w:trHeight w:val="142"/>
        </w:trPr>
        <w:tc>
          <w:tcPr>
            <w:tcW w:w="3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Revenue from external customers</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40" w:type="dxa"/>
            <w:vAlign w:val="bottom"/>
            <w:gridSpan w:val="2"/>
            <w:shd w:val="clear" w:color="auto" w:fill="CFF0FC"/>
          </w:tcPr>
          <w:p>
            <w:pPr>
              <w:jc w:val="right"/>
              <w:ind w:right="3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3,578</w:t>
            </w: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2,834</w:t>
            </w:r>
          </w:p>
        </w:tc>
        <w:tc>
          <w:tcPr>
            <w:tcW w:w="380" w:type="dxa"/>
            <w:vAlign w:val="bottom"/>
            <w:gridSpan w:val="2"/>
            <w:shd w:val="clear" w:color="auto" w:fill="CFF0FC"/>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3,552</w:t>
            </w:r>
          </w:p>
        </w:tc>
        <w:tc>
          <w:tcPr>
            <w:tcW w:w="620" w:type="dxa"/>
            <w:vAlign w:val="bottom"/>
            <w:gridSpan w:val="2"/>
            <w:shd w:val="clear" w:color="auto" w:fill="CFF0FC"/>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2,915</w:t>
            </w: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6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r>
      <w:tr>
        <w:trPr>
          <w:trHeight w:val="142"/>
        </w:trPr>
        <w:tc>
          <w:tcPr>
            <w:tcW w:w="3380" w:type="dxa"/>
            <w:vAlign w:val="bottom"/>
            <w:shd w:val="clear" w:color="auto" w:fill="CFF0FC"/>
          </w:tcPr>
          <w:p>
            <w:pPr>
              <w:ind w:left="4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3,628</w:t>
            </w: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2,928</w:t>
            </w:r>
          </w:p>
        </w:tc>
        <w:tc>
          <w:tcPr>
            <w:tcW w:w="20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3,600</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2,988</w:t>
            </w: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Less significant segment expenses:</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2,719</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2,149</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2,711</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2,184</w:t>
            </w:r>
          </w:p>
        </w:tc>
        <w:tc>
          <w:tcPr>
            <w:tcW w:w="100" w:type="dxa"/>
            <w:vAlign w:val="bottom"/>
          </w:tcPr>
          <w:p>
            <w:pPr>
              <w:spacing w:after="0"/>
              <w:rPr>
                <w:sz w:val="12"/>
                <w:szCs w:val="12"/>
                <w:color w:val="auto"/>
              </w:rPr>
            </w:pPr>
          </w:p>
        </w:tc>
      </w:tr>
      <w:tr>
        <w:trPr>
          <w:trHeight w:val="148"/>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391</w:t>
            </w: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0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38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386</w:t>
            </w: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186</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w:t>
            </w:r>
          </w:p>
        </w:tc>
        <w:tc>
          <w:tcPr>
            <w:tcW w:w="100" w:type="dxa"/>
            <w:vAlign w:val="bottom"/>
          </w:tcPr>
          <w:p>
            <w:pPr>
              <w:spacing w:after="0"/>
              <w:rPr>
                <w:sz w:val="12"/>
                <w:szCs w:val="12"/>
                <w:color w:val="auto"/>
              </w:rPr>
            </w:pPr>
          </w:p>
        </w:tc>
      </w:tr>
      <w:tr>
        <w:trPr>
          <w:trHeight w:val="148"/>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(Gain) loss on fixed assets</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20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640" w:type="dxa"/>
            <w:vAlign w:val="bottom"/>
            <w:gridSpan w:val="3"/>
            <w:shd w:val="clear" w:color="auto" w:fill="CFF0FC"/>
          </w:tcPr>
          <w:p>
            <w:pPr>
              <w:jc w:val="right"/>
              <w:ind w:right="13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w:t>
            </w:r>
          </w:p>
        </w:tc>
      </w:tr>
      <w:tr>
        <w:trPr>
          <w:trHeight w:val="20"/>
        </w:trPr>
        <w:tc>
          <w:tcPr>
            <w:tcW w:w="33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tcBorders>
              <w:right w:val="single" w:sz="8" w:color="CFF0FC"/>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significant segment expenses</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92"/>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3,211</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jc w:val="right"/>
              <w:ind w:right="9"/>
              <w:spacing w:after="0" w:line="142" w:lineRule="exact"/>
              <w:rPr>
                <w:sz w:val="20"/>
                <w:szCs w:val="20"/>
                <w:color w:val="auto"/>
              </w:rPr>
            </w:pPr>
            <w:r>
              <w:rPr>
                <w:rFonts w:ascii="Times New Roman" w:cs="Times New Roman" w:eastAsia="Times New Roman" w:hAnsi="Times New Roman"/>
                <w:sz w:val="14"/>
                <w:szCs w:val="14"/>
                <w:color w:val="auto"/>
              </w:rPr>
              <w:t>2,705</w:t>
            </w:r>
          </w:p>
        </w:tc>
        <w:tc>
          <w:tcPr>
            <w:tcW w:w="380" w:type="dxa"/>
            <w:vAlign w:val="bottom"/>
            <w:gridSpan w:val="2"/>
          </w:tcPr>
          <w:p>
            <w:pPr>
              <w:jc w:val="right"/>
              <w:ind w:right="63"/>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color w:val="auto"/>
              </w:rPr>
              <w:t>3,181</w:t>
            </w:r>
          </w:p>
        </w:tc>
        <w:tc>
          <w:tcPr>
            <w:tcW w:w="620" w:type="dxa"/>
            <w:vAlign w:val="bottom"/>
            <w:gridSpan w:val="2"/>
          </w:tcPr>
          <w:p>
            <w:pPr>
              <w:jc w:val="right"/>
              <w:ind w:right="21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2,732</w:t>
            </w:r>
          </w:p>
        </w:tc>
        <w:tc>
          <w:tcPr>
            <w:tcW w:w="100" w:type="dxa"/>
            <w:vAlign w:val="bottom"/>
          </w:tcPr>
          <w:p>
            <w:pPr>
              <w:spacing w:after="0"/>
              <w:rPr>
                <w:sz w:val="12"/>
                <w:szCs w:val="12"/>
                <w:color w:val="auto"/>
              </w:rPr>
            </w:pPr>
          </w:p>
        </w:tc>
      </w:tr>
      <w:tr>
        <w:trPr>
          <w:trHeight w:val="148"/>
        </w:trPr>
        <w:tc>
          <w:tcPr>
            <w:tcW w:w="3380" w:type="dxa"/>
            <w:vAlign w:val="bottom"/>
            <w:tcBorders>
              <w:bottom w:val="single" w:sz="8" w:color="CFF0FC"/>
            </w:tcBorders>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segment items (1)</w:t>
            </w:r>
          </w:p>
        </w:tc>
        <w:tc>
          <w:tcPr>
            <w:tcW w:w="80" w:type="dxa"/>
            <w:vAlign w:val="bottom"/>
            <w:tcBorders>
              <w:bottom w:val="single" w:sz="8" w:color="CFF0FC"/>
            </w:tcBorders>
            <w:shd w:val="clear" w:color="auto" w:fill="CFF0FC"/>
          </w:tcPr>
          <w:p>
            <w:pPr>
              <w:spacing w:after="0"/>
              <w:rPr>
                <w:sz w:val="12"/>
                <w:szCs w:val="12"/>
                <w:color w:val="auto"/>
              </w:rPr>
            </w:pPr>
          </w:p>
        </w:tc>
        <w:tc>
          <w:tcPr>
            <w:tcW w:w="6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520" w:type="dxa"/>
            <w:vAlign w:val="bottom"/>
            <w:tcBorders>
              <w:bottom w:val="single" w:sz="8" w:color="auto"/>
            </w:tcBorders>
            <w:shd w:val="clear" w:color="auto" w:fill="CFF0FC"/>
          </w:tcPr>
          <w:p>
            <w:pPr>
              <w:spacing w:after="0"/>
              <w:rPr>
                <w:sz w:val="12"/>
                <w:szCs w:val="12"/>
                <w:color w:val="auto"/>
              </w:rPr>
            </w:pPr>
          </w:p>
        </w:tc>
        <w:tc>
          <w:tcPr>
            <w:tcW w:w="2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6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CFF0FC"/>
              <w:right w:val="single" w:sz="8" w:color="CFF0FC"/>
            </w:tcBorders>
            <w:shd w:val="clear" w:color="auto" w:fill="CFF0FC"/>
          </w:tcPr>
          <w:p>
            <w:pPr>
              <w:spacing w:after="0"/>
              <w:rPr>
                <w:sz w:val="12"/>
                <w:szCs w:val="12"/>
                <w:color w:val="auto"/>
              </w:rPr>
            </w:pPr>
          </w:p>
        </w:tc>
        <w:tc>
          <w:tcPr>
            <w:tcW w:w="10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440" w:type="dxa"/>
            <w:vAlign w:val="bottom"/>
            <w:tcBorders>
              <w:bottom w:val="single" w:sz="8" w:color="auto"/>
              <w:right w:val="single" w:sz="8" w:color="CFF0FC"/>
            </w:tcBorders>
            <w:shd w:val="clear" w:color="auto" w:fill="CFF0FC"/>
          </w:tcPr>
          <w:p>
            <w:pPr>
              <w:jc w:val="right"/>
              <w:ind w:right="9"/>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200" w:type="dxa"/>
            <w:vAlign w:val="bottom"/>
            <w:tcBorders>
              <w:bottom w:val="single" w:sz="8" w:color="CFF0FC"/>
            </w:tcBorders>
            <w:shd w:val="clear" w:color="auto" w:fill="CFF0FC"/>
          </w:tcPr>
          <w:p>
            <w:pPr>
              <w:spacing w:after="0"/>
              <w:rPr>
                <w:sz w:val="12"/>
                <w:szCs w:val="12"/>
                <w:color w:val="auto"/>
              </w:rPr>
            </w:pPr>
          </w:p>
        </w:tc>
        <w:tc>
          <w:tcPr>
            <w:tcW w:w="180" w:type="dxa"/>
            <w:vAlign w:val="bottom"/>
            <w:tcBorders>
              <w:left w:val="single" w:sz="8" w:color="CFF0FC"/>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660" w:type="dxa"/>
            <w:vAlign w:val="bottom"/>
            <w:tcBorders>
              <w:bottom w:val="single" w:sz="8" w:color="auto"/>
            </w:tcBorders>
            <w:shd w:val="clear" w:color="auto" w:fill="CFF0FC"/>
          </w:tcPr>
          <w:p>
            <w:pPr>
              <w:spacing w:after="0"/>
              <w:rPr>
                <w:sz w:val="12"/>
                <w:szCs w:val="12"/>
                <w:color w:val="auto"/>
              </w:rPr>
            </w:pPr>
          </w:p>
        </w:tc>
        <w:tc>
          <w:tcPr>
            <w:tcW w:w="380" w:type="dxa"/>
            <w:vAlign w:val="bottom"/>
            <w:tcBorders>
              <w:bottom w:val="single" w:sz="8" w:color="auto"/>
            </w:tcBorders>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260" w:type="dxa"/>
            <w:vAlign w:val="bottom"/>
            <w:tcBorders>
              <w:bottom w:val="single" w:sz="8" w:color="CFF0FC"/>
            </w:tcBorders>
            <w:shd w:val="clear" w:color="auto" w:fill="CFF0FC"/>
          </w:tcPr>
          <w:p>
            <w:pPr>
              <w:spacing w:after="0"/>
              <w:rPr>
                <w:sz w:val="12"/>
                <w:szCs w:val="12"/>
                <w:color w:val="auto"/>
              </w:rPr>
            </w:pPr>
          </w:p>
        </w:tc>
        <w:tc>
          <w:tcPr>
            <w:tcW w:w="360" w:type="dxa"/>
            <w:vAlign w:val="bottom"/>
            <w:tcBorders>
              <w:bottom w:val="single" w:sz="8" w:color="auto"/>
            </w:tcBorders>
            <w:shd w:val="clear" w:color="auto" w:fill="CFF0FC"/>
          </w:tcPr>
          <w:p>
            <w:pPr>
              <w:spacing w:after="0"/>
              <w:rPr>
                <w:sz w:val="12"/>
                <w:szCs w:val="12"/>
                <w:color w:val="auto"/>
              </w:rPr>
            </w:pPr>
          </w:p>
        </w:tc>
        <w:tc>
          <w:tcPr>
            <w:tcW w:w="8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tcBorders>
            <w:shd w:val="clear" w:color="auto" w:fill="CFF0FC"/>
          </w:tcPr>
          <w:p>
            <w:pPr>
              <w:spacing w:after="0"/>
              <w:rPr>
                <w:sz w:val="12"/>
                <w:szCs w:val="12"/>
                <w:color w:val="auto"/>
              </w:rPr>
            </w:pPr>
          </w:p>
        </w:tc>
        <w:tc>
          <w:tcPr>
            <w:tcW w:w="7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FF0FC"/>
            </w:tcBorders>
            <w:shd w:val="clear" w:color="auto" w:fill="CFF0FC"/>
          </w:tcPr>
          <w:p>
            <w:pPr>
              <w:spacing w:after="0"/>
              <w:rPr>
                <w:sz w:val="12"/>
                <w:szCs w:val="12"/>
                <w:color w:val="auto"/>
              </w:rPr>
            </w:pPr>
          </w:p>
        </w:tc>
      </w:tr>
      <w:tr>
        <w:trPr>
          <w:trHeight w:val="142"/>
        </w:trPr>
        <w:tc>
          <w:tcPr>
            <w:tcW w:w="33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Segment operating profit</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1"/>
                <w:szCs w:val="11"/>
                <w:color w:val="auto"/>
                <w:w w:val="71"/>
              </w:rPr>
              <w:t>$</w:t>
            </w: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9"/>
              <w:spacing w:after="0" w:line="129" w:lineRule="exact"/>
              <w:rPr>
                <w:sz w:val="20"/>
                <w:szCs w:val="20"/>
                <w:color w:val="auto"/>
              </w:rPr>
            </w:pPr>
            <w:r>
              <w:rPr>
                <w:rFonts w:ascii="Times New Roman" w:cs="Times New Roman" w:eastAsia="Times New Roman" w:hAnsi="Times New Roman"/>
                <w:sz w:val="14"/>
                <w:szCs w:val="14"/>
                <w:color w:val="auto"/>
              </w:rPr>
              <w:t>199</w:t>
            </w:r>
          </w:p>
        </w:tc>
        <w:tc>
          <w:tcPr>
            <w:tcW w:w="200" w:type="dxa"/>
            <w:vAlign w:val="bottom"/>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color w:val="auto"/>
              </w:rPr>
              <w:t>386</w:t>
            </w:r>
          </w:p>
        </w:tc>
        <w:tc>
          <w:tcPr>
            <w:tcW w:w="260" w:type="dxa"/>
            <w:vAlign w:val="bottom"/>
          </w:tcPr>
          <w:p>
            <w:pPr>
              <w:spacing w:after="0"/>
              <w:rPr>
                <w:sz w:val="12"/>
                <w:szCs w:val="12"/>
                <w:color w:val="auto"/>
              </w:rPr>
            </w:pPr>
          </w:p>
        </w:tc>
        <w:tc>
          <w:tcPr>
            <w:tcW w:w="360" w:type="dxa"/>
            <w:vAlign w:val="bottom"/>
            <w:tcBorders>
              <w:bottom w:val="single" w:sz="8" w:color="auto"/>
            </w:tcBorders>
          </w:tcPr>
          <w:p>
            <w:pPr>
              <w:jc w:val="right"/>
              <w:ind w:right="210"/>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204</w:t>
            </w:r>
          </w:p>
        </w:tc>
        <w:tc>
          <w:tcPr>
            <w:tcW w:w="100" w:type="dxa"/>
            <w:vAlign w:val="bottom"/>
          </w:tcPr>
          <w:p>
            <w:pPr>
              <w:spacing w:after="0"/>
              <w:rPr>
                <w:sz w:val="12"/>
                <w:szCs w:val="12"/>
                <w:color w:val="auto"/>
              </w:rPr>
            </w:pPr>
          </w:p>
        </w:tc>
      </w:tr>
      <w:tr>
        <w:trPr>
          <w:trHeight w:val="20"/>
        </w:trPr>
        <w:tc>
          <w:tcPr>
            <w:tcW w:w="3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740" w:type="dxa"/>
            <w:vAlign w:val="bottom"/>
            <w:tcBorders>
              <w:bottom w:val="single" w:sz="8" w:color="auto"/>
            </w:tcBorders>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32"/>
        </w:trPr>
        <w:tc>
          <w:tcPr>
            <w:tcW w:w="338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3"/>
                <w:szCs w:val="13"/>
                <w:b w:val="1"/>
                <w:bCs w:val="1"/>
                <w:color w:val="auto"/>
                <w:w w:val="95"/>
              </w:rPr>
              <w:t>Nine Months Ended September 30,</w:t>
            </w: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3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gridSpan w:val="3"/>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w w:val="92"/>
              </w:rPr>
              <w:t>2026</w:t>
            </w:r>
          </w:p>
        </w:tc>
        <w:tc>
          <w:tcPr>
            <w:tcW w:w="6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gridSpan w:val="2"/>
          </w:tcPr>
          <w:p>
            <w:pPr>
              <w:jc w:val="right"/>
              <w:ind w:right="36"/>
              <w:spacing w:after="0" w:line="129" w:lineRule="exact"/>
              <w:rPr>
                <w:sz w:val="20"/>
                <w:szCs w:val="20"/>
                <w:color w:val="auto"/>
              </w:rPr>
            </w:pPr>
            <w:r>
              <w:rPr>
                <w:rFonts w:ascii="Times New Roman" w:cs="Times New Roman" w:eastAsia="Times New Roman" w:hAnsi="Times New Roman"/>
                <w:sz w:val="13"/>
                <w:szCs w:val="13"/>
                <w:b w:val="1"/>
                <w:bCs w:val="1"/>
                <w:color w:val="auto"/>
                <w:w w:val="99"/>
              </w:rPr>
              <w:t>2025</w:t>
            </w:r>
          </w:p>
        </w:tc>
        <w:tc>
          <w:tcPr>
            <w:tcW w:w="2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08"/>
        </w:trPr>
        <w:tc>
          <w:tcPr>
            <w:tcW w:w="338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gridSpan w:val="2"/>
          </w:tcPr>
          <w:p>
            <w:pPr>
              <w:jc w:val="right"/>
              <w:ind w:right="132"/>
              <w:spacing w:after="0" w:line="109" w:lineRule="exact"/>
              <w:rPr>
                <w:sz w:val="20"/>
                <w:szCs w:val="20"/>
                <w:color w:val="auto"/>
              </w:rPr>
            </w:pPr>
            <w:r>
              <w:rPr>
                <w:rFonts w:ascii="Times New Roman" w:cs="Times New Roman" w:eastAsia="Times New Roman" w:hAnsi="Times New Roman"/>
                <w:sz w:val="12"/>
                <w:szCs w:val="12"/>
                <w:b w:val="1"/>
                <w:bCs w:val="1"/>
                <w:color w:val="auto"/>
              </w:rPr>
              <w:t>Energy</w:t>
            </w: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gridSpan w:val="3"/>
          </w:tcPr>
          <w:p>
            <w:pPr>
              <w:jc w:val="center"/>
              <w:ind w:right="340"/>
              <w:spacing w:after="0" w:line="109" w:lineRule="exact"/>
              <w:rPr>
                <w:sz w:val="20"/>
                <w:szCs w:val="20"/>
                <w:color w:val="auto"/>
              </w:rPr>
            </w:pPr>
            <w:r>
              <w:rPr>
                <w:rFonts w:ascii="Times New Roman" w:cs="Times New Roman" w:eastAsia="Times New Roman" w:hAnsi="Times New Roman"/>
                <w:sz w:val="12"/>
                <w:szCs w:val="12"/>
                <w:b w:val="1"/>
                <w:bCs w:val="1"/>
                <w:color w:val="auto"/>
              </w:rPr>
              <w:t>Elims. and</w:t>
            </w: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jc w:val="right"/>
              <w:ind w:right="150"/>
              <w:spacing w:after="0" w:line="109" w:lineRule="exact"/>
              <w:rPr>
                <w:sz w:val="20"/>
                <w:szCs w:val="20"/>
                <w:color w:val="auto"/>
              </w:rPr>
            </w:pPr>
            <w:r>
              <w:rPr>
                <w:rFonts w:ascii="Times New Roman" w:cs="Times New Roman" w:eastAsia="Times New Roman" w:hAnsi="Times New Roman"/>
                <w:sz w:val="12"/>
                <w:szCs w:val="12"/>
                <w:b w:val="1"/>
                <w:bCs w:val="1"/>
                <w:color w:val="auto"/>
              </w:rPr>
              <w:t>Energy</w:t>
            </w:r>
          </w:p>
        </w:tc>
        <w:tc>
          <w:tcPr>
            <w:tcW w:w="200" w:type="dxa"/>
            <w:vAlign w:val="bottom"/>
          </w:tcPr>
          <w:p>
            <w:pPr>
              <w:spacing w:after="0"/>
              <w:rPr>
                <w:sz w:val="9"/>
                <w:szCs w:val="9"/>
                <w:color w:val="auto"/>
              </w:rPr>
            </w:pPr>
          </w:p>
        </w:tc>
        <w:tc>
          <w:tcPr>
            <w:tcW w:w="880" w:type="dxa"/>
            <w:vAlign w:val="bottom"/>
            <w:gridSpan w:val="4"/>
          </w:tcPr>
          <w:p>
            <w:pPr>
              <w:jc w:val="center"/>
              <w:ind w:right="120"/>
              <w:spacing w:after="0" w:line="109" w:lineRule="exact"/>
              <w:rPr>
                <w:sz w:val="20"/>
                <w:szCs w:val="20"/>
                <w:color w:val="auto"/>
              </w:rPr>
            </w:pPr>
            <w:r>
              <w:rPr>
                <w:rFonts w:ascii="Times New Roman" w:cs="Times New Roman" w:eastAsia="Times New Roman" w:hAnsi="Times New Roman"/>
                <w:sz w:val="12"/>
                <w:szCs w:val="12"/>
                <w:b w:val="1"/>
                <w:bCs w:val="1"/>
                <w:color w:val="auto"/>
              </w:rPr>
              <w:t>Elims. and</w:t>
            </w: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35"/>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jc w:val="right"/>
              <w:ind w:right="129"/>
              <w:spacing w:after="0" w:line="135" w:lineRule="exact"/>
              <w:rPr>
                <w:sz w:val="20"/>
                <w:szCs w:val="20"/>
                <w:color w:val="auto"/>
              </w:rPr>
            </w:pPr>
            <w:r>
              <w:rPr>
                <w:rFonts w:ascii="Times New Roman" w:cs="Times New Roman" w:eastAsia="Times New Roman" w:hAnsi="Times New Roman"/>
                <w:sz w:val="13"/>
                <w:szCs w:val="13"/>
                <w:b w:val="1"/>
                <w:bCs w:val="1"/>
                <w:color w:val="auto"/>
              </w:rPr>
              <w:t>Energy</w:t>
            </w:r>
          </w:p>
        </w:tc>
        <w:tc>
          <w:tcPr>
            <w:tcW w:w="220" w:type="dxa"/>
            <w:vAlign w:val="bottom"/>
          </w:tcPr>
          <w:p>
            <w:pPr>
              <w:spacing w:after="0"/>
              <w:rPr>
                <w:sz w:val="11"/>
                <w:szCs w:val="11"/>
                <w:color w:val="auto"/>
              </w:rPr>
            </w:pPr>
          </w:p>
        </w:tc>
        <w:tc>
          <w:tcPr>
            <w:tcW w:w="740" w:type="dxa"/>
            <w:vAlign w:val="bottom"/>
            <w:gridSpan w:val="3"/>
          </w:tcPr>
          <w:p>
            <w:pP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Products and</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3"/>
          </w:tcPr>
          <w:p>
            <w:pPr>
              <w:jc w:val="center"/>
              <w:ind w:right="340"/>
              <w:spacing w:after="0" w:line="135" w:lineRule="exact"/>
              <w:rPr>
                <w:sz w:val="20"/>
                <w:szCs w:val="20"/>
                <w:color w:val="auto"/>
              </w:rPr>
            </w:pPr>
            <w:r>
              <w:rPr>
                <w:rFonts w:ascii="Times New Roman" w:cs="Times New Roman" w:eastAsia="Times New Roman" w:hAnsi="Times New Roman"/>
                <w:sz w:val="13"/>
                <w:szCs w:val="13"/>
                <w:b w:val="1"/>
                <w:bCs w:val="1"/>
                <w:color w:val="auto"/>
                <w:w w:val="99"/>
              </w:rPr>
              <w:t>corporate</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3"/>
          </w:tcPr>
          <w:p>
            <w:pPr>
              <w:jc w:val="right"/>
              <w:ind w:right="283"/>
              <w:spacing w:after="0" w:line="135" w:lineRule="exact"/>
              <w:rPr>
                <w:sz w:val="20"/>
                <w:szCs w:val="20"/>
                <w:color w:val="auto"/>
              </w:rPr>
            </w:pPr>
            <w:r>
              <w:rPr>
                <w:rFonts w:ascii="Times New Roman" w:cs="Times New Roman" w:eastAsia="Times New Roman" w:hAnsi="Times New Roman"/>
                <w:sz w:val="13"/>
                <w:szCs w:val="13"/>
                <w:b w:val="1"/>
                <w:bCs w:val="1"/>
                <w:color w:val="auto"/>
              </w:rPr>
              <w:t>Energy</w:t>
            </w:r>
          </w:p>
        </w:tc>
        <w:tc>
          <w:tcPr>
            <w:tcW w:w="8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Products and</w:t>
            </w:r>
          </w:p>
        </w:tc>
        <w:tc>
          <w:tcPr>
            <w:tcW w:w="200" w:type="dxa"/>
            <w:vAlign w:val="bottom"/>
          </w:tcPr>
          <w:p>
            <w:pPr>
              <w:spacing w:after="0"/>
              <w:rPr>
                <w:sz w:val="11"/>
                <w:szCs w:val="11"/>
                <w:color w:val="auto"/>
              </w:rPr>
            </w:pPr>
          </w:p>
        </w:tc>
        <w:tc>
          <w:tcPr>
            <w:tcW w:w="880" w:type="dxa"/>
            <w:vAlign w:val="bottom"/>
            <w:gridSpan w:val="4"/>
          </w:tcPr>
          <w:p>
            <w:pPr>
              <w:jc w:val="center"/>
              <w:ind w:right="1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corporate</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33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3"/>
                <w:szCs w:val="13"/>
                <w:b w:val="1"/>
                <w:bCs w:val="1"/>
                <w:color w:val="auto"/>
                <w:w w:val="93"/>
              </w:rPr>
              <w:t>Equipment</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92"/>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costs (2)</w:t>
            </w: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3"/>
              </w:rPr>
              <w:t>Equipment</w:t>
            </w: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0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gridSpan w:val="2"/>
          </w:tcPr>
          <w:p>
            <w:pPr>
              <w:jc w:val="center"/>
              <w:ind w:right="110"/>
              <w:spacing w:after="0"/>
              <w:rPr>
                <w:sz w:val="20"/>
                <w:szCs w:val="20"/>
                <w:color w:val="auto"/>
              </w:rPr>
            </w:pPr>
            <w:r>
              <w:rPr>
                <w:rFonts w:ascii="Times New Roman" w:cs="Times New Roman" w:eastAsia="Times New Roman" w:hAnsi="Times New Roman"/>
                <w:sz w:val="13"/>
                <w:szCs w:val="13"/>
                <w:b w:val="1"/>
                <w:bCs w:val="1"/>
                <w:color w:val="auto"/>
                <w:w w:val="97"/>
              </w:rPr>
              <w:t>costs (2)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42"/>
        </w:trPr>
        <w:tc>
          <w:tcPr>
            <w:tcW w:w="338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Segment operating profit</w:t>
            </w: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392</w:t>
            </w:r>
          </w:p>
        </w:tc>
        <w:tc>
          <w:tcPr>
            <w:tcW w:w="320" w:type="dxa"/>
            <w:vAlign w:val="bottom"/>
            <w:gridSpan w:val="2"/>
            <w:shd w:val="clear" w:color="auto" w:fill="CFF0FC"/>
          </w:tcPr>
          <w:p>
            <w:pPr>
              <w:ind w:left="2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199</w:t>
            </w:r>
          </w:p>
        </w:tc>
        <w:tc>
          <w:tcPr>
            <w:tcW w:w="300" w:type="dxa"/>
            <w:vAlign w:val="bottom"/>
            <w:gridSpan w:val="3"/>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CFF0FC"/>
            </w:tcBorders>
            <w:gridSpan w:val="3"/>
            <w:shd w:val="clear" w:color="auto" w:fill="CFF0FC"/>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591</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386</w:t>
            </w:r>
          </w:p>
        </w:tc>
        <w:tc>
          <w:tcPr>
            <w:tcW w:w="180" w:type="dxa"/>
            <w:vAlign w:val="bottom"/>
            <w:tcBorders>
              <w:left w:val="single" w:sz="8" w:color="CFF0FC"/>
            </w:tcBorders>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204</w:t>
            </w:r>
          </w:p>
        </w:tc>
        <w:tc>
          <w:tcPr>
            <w:tcW w:w="380" w:type="dxa"/>
            <w:vAlign w:val="bottom"/>
            <w:gridSpan w:val="2"/>
            <w:shd w:val="clear" w:color="auto" w:fill="CFF0FC"/>
          </w:tcPr>
          <w:p>
            <w:pPr>
              <w:jc w:val="right"/>
              <w:ind w:right="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590</w:t>
            </w: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Corporate and other unallocated (3)</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(209)</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(188)</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(188)</w:t>
            </w:r>
          </w:p>
        </w:tc>
      </w:tr>
      <w:tr>
        <w:trPr>
          <w:trHeight w:val="148"/>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and financial costs</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3"/>
            <w:shd w:val="clear" w:color="auto" w:fill="CFF0FC"/>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380" w:type="dxa"/>
            <w:vAlign w:val="bottom"/>
            <w:gridSpan w:val="2"/>
            <w:shd w:val="clear" w:color="auto" w:fill="CFF0FC"/>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gridSpan w:val="3"/>
            <w:shd w:val="clear" w:color="auto" w:fill="CFF0FC"/>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(66)</w:t>
            </w: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r>
      <w:tr>
        <w:trPr>
          <w:trHeight w:val="149"/>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Equity income (loss) in unconsolidated affiliates</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60" w:type="dxa"/>
            <w:vAlign w:val="bottom"/>
            <w:gridSpan w:val="4"/>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80" w:type="dxa"/>
            <w:vAlign w:val="bottom"/>
            <w:shd w:val="clear" w:color="auto" w:fill="CFF0FC"/>
          </w:tcPr>
          <w:p>
            <w:pPr>
              <w:spacing w:after="0"/>
              <w:rPr>
                <w:sz w:val="12"/>
                <w:szCs w:val="12"/>
                <w:color w:val="auto"/>
              </w:rPr>
            </w:pPr>
          </w:p>
        </w:tc>
        <w:tc>
          <w:tcPr>
            <w:tcW w:w="920" w:type="dxa"/>
            <w:vAlign w:val="bottom"/>
            <w:tcBorders>
              <w:right w:val="single" w:sz="8" w:color="CFF0FC"/>
            </w:tcBorders>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880" w:type="dxa"/>
            <w:vAlign w:val="bottom"/>
            <w:gridSpan w:val="2"/>
            <w:shd w:val="clear" w:color="auto" w:fill="CFF0FC"/>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60" w:type="dxa"/>
            <w:vAlign w:val="bottom"/>
            <w:gridSpan w:val="2"/>
            <w:shd w:val="clear" w:color="auto" w:fill="CFF0FC"/>
          </w:tcPr>
          <w:p>
            <w:pPr>
              <w:jc w:val="right"/>
              <w:ind w:right="89"/>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800" w:type="dxa"/>
            <w:vAlign w:val="bottom"/>
            <w:gridSpan w:val="2"/>
            <w:shd w:val="clear" w:color="auto" w:fill="CFF0FC"/>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w:t>
            </w: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Other expenses, net</w:t>
            </w: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3"/>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Pr>
          <w:p>
            <w:pPr>
              <w:spacing w:after="0"/>
              <w:rPr>
                <w:sz w:val="12"/>
                <w:szCs w:val="12"/>
                <w:color w:val="auto"/>
              </w:rPr>
            </w:pPr>
          </w:p>
        </w:tc>
        <w:tc>
          <w:tcPr>
            <w:tcW w:w="88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gridSpan w:val="2"/>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gridSpan w:val="3"/>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w:t>
            </w:r>
          </w:p>
        </w:tc>
      </w:tr>
      <w:tr>
        <w:trPr>
          <w:trHeight w:val="182"/>
        </w:trPr>
        <w:tc>
          <w:tcPr>
            <w:tcW w:w="3380" w:type="dxa"/>
            <w:vAlign w:val="bottom"/>
            <w:tcBorders>
              <w:bottom w:val="single" w:sz="8" w:color="CFF0FC"/>
            </w:tcBorders>
            <w:shd w:val="clear" w:color="auto" w:fill="CFF0FC"/>
          </w:tcPr>
          <w:p>
            <w:pPr>
              <w:ind w:left="60"/>
              <w:spacing w:after="0" w:line="142" w:lineRule="exact"/>
              <w:rPr>
                <w:sz w:val="20"/>
                <w:szCs w:val="20"/>
                <w:color w:val="auto"/>
              </w:rPr>
            </w:pPr>
            <w:r>
              <w:rPr>
                <w:rFonts w:ascii="Times New Roman" w:cs="Times New Roman" w:eastAsia="Times New Roman" w:hAnsi="Times New Roman"/>
                <w:sz w:val="14"/>
                <w:szCs w:val="14"/>
                <w:color w:val="auto"/>
              </w:rPr>
              <w:t>Income before income taxes</w:t>
            </w: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397</w:t>
            </w:r>
          </w:p>
        </w:tc>
        <w:tc>
          <w:tcPr>
            <w:tcW w:w="2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179</w:t>
            </w:r>
          </w:p>
        </w:tc>
        <w:tc>
          <w:tcPr>
            <w:tcW w:w="20" w:type="dxa"/>
            <w:vAlign w:val="bottom"/>
            <w:tcBorders>
              <w:top w:val="single" w:sz="8" w:color="auto"/>
              <w:bottom w:val="single" w:sz="8" w:color="auto"/>
            </w:tcBorders>
            <w:shd w:val="clear" w:color="auto" w:fill="CFF0FC"/>
          </w:tcPr>
          <w:p>
            <w:pPr>
              <w:spacing w:after="0"/>
              <w:rPr>
                <w:sz w:val="15"/>
                <w:szCs w:val="15"/>
                <w:color w:val="auto"/>
              </w:rPr>
            </w:pPr>
          </w:p>
        </w:tc>
        <w:tc>
          <w:tcPr>
            <w:tcW w:w="20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(261)</w:t>
            </w:r>
          </w:p>
        </w:tc>
        <w:tc>
          <w:tcPr>
            <w:tcW w:w="220" w:type="dxa"/>
            <w:vAlign w:val="bottom"/>
            <w:tcBorders>
              <w:bottom w:val="single" w:sz="8" w:color="CFF0FC"/>
              <w:right w:val="single" w:sz="8" w:color="CFF0FC"/>
            </w:tcBorders>
            <w:shd w:val="clear" w:color="auto" w:fill="CFF0FC"/>
          </w:tcPr>
          <w:p>
            <w:pPr>
              <w:spacing w:after="0"/>
              <w:rPr>
                <w:sz w:val="15"/>
                <w:szCs w:val="15"/>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315</w:t>
            </w:r>
          </w:p>
        </w:tc>
        <w:tc>
          <w:tcPr>
            <w:tcW w:w="220" w:type="dxa"/>
            <w:vAlign w:val="bottom"/>
            <w:tcBorders>
              <w:bottom w:val="single" w:sz="8" w:color="CFF0FC"/>
            </w:tcBorders>
            <w:shd w:val="clear" w:color="auto" w:fill="CFF0FC"/>
          </w:tcPr>
          <w:p>
            <w:pPr>
              <w:spacing w:after="0"/>
              <w:rPr>
                <w:sz w:val="15"/>
                <w:szCs w:val="15"/>
                <w:color w:val="auto"/>
              </w:rPr>
            </w:pPr>
          </w:p>
        </w:tc>
        <w:tc>
          <w:tcPr>
            <w:tcW w:w="8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top w:val="single" w:sz="8" w:color="auto"/>
              <w:bottom w:val="single" w:sz="8" w:color="auto"/>
              <w:right w:val="single" w:sz="8" w:color="CFF0FC"/>
            </w:tcBorders>
            <w:shd w:val="clear" w:color="auto" w:fill="CFF0FC"/>
          </w:tcPr>
          <w:p>
            <w:pPr>
              <w:spacing w:after="0"/>
              <w:rPr>
                <w:sz w:val="15"/>
                <w:szCs w:val="15"/>
                <w:color w:val="auto"/>
              </w:rPr>
            </w:pPr>
          </w:p>
        </w:tc>
        <w:tc>
          <w:tcPr>
            <w:tcW w:w="2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388</w:t>
            </w:r>
          </w:p>
        </w:tc>
        <w:tc>
          <w:tcPr>
            <w:tcW w:w="180" w:type="dxa"/>
            <w:vAlign w:val="bottom"/>
            <w:tcBorders>
              <w:left w:val="single" w:sz="8" w:color="CFF0FC"/>
              <w:bottom w:val="single" w:sz="8" w:color="CFF0FC"/>
            </w:tcBorders>
            <w:shd w:val="clear" w:color="auto" w:fill="CFF0FC"/>
          </w:tcPr>
          <w:p>
            <w:pPr>
              <w:spacing w:after="0"/>
              <w:rPr>
                <w:sz w:val="15"/>
                <w:szCs w:val="15"/>
                <w:color w:val="auto"/>
              </w:rPr>
            </w:pP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top w:val="single" w:sz="8" w:color="auto"/>
              <w:bottom w:val="single" w:sz="8" w:color="auto"/>
            </w:tcBorders>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192</w:t>
            </w:r>
          </w:p>
        </w:tc>
        <w:tc>
          <w:tcPr>
            <w:tcW w:w="20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36"/>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bottom w:val="single" w:sz="8" w:color="auto"/>
            </w:tcBorders>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(271)</w:t>
            </w:r>
          </w:p>
        </w:tc>
        <w:tc>
          <w:tcPr>
            <w:tcW w:w="8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180" w:type="dxa"/>
            <w:vAlign w:val="bottom"/>
            <w:tcBorders>
              <w:top w:val="single" w:sz="8" w:color="auto"/>
              <w:bottom w:val="single" w:sz="8" w:color="auto"/>
            </w:tcBorders>
            <w:shd w:val="clear" w:color="auto" w:fill="CFF0FC"/>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309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29"/>
        </w:trPr>
        <w:tc>
          <w:tcPr>
            <w:tcW w:w="3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8"/>
        </w:trPr>
        <w:tc>
          <w:tcPr>
            <w:tcW w:w="33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Other segment information:</w:t>
            </w:r>
          </w:p>
        </w:tc>
        <w:tc>
          <w:tcPr>
            <w:tcW w:w="80" w:type="dxa"/>
            <w:vAlign w:val="bottom"/>
            <w:shd w:val="clear" w:color="auto" w:fill="CFF0FC"/>
          </w:tcPr>
          <w:p>
            <w:pPr>
              <w:spacing w:after="0"/>
              <w:rPr>
                <w:sz w:val="12"/>
                <w:szCs w:val="12"/>
                <w:color w:val="auto"/>
              </w:rPr>
            </w:pPr>
          </w:p>
        </w:tc>
        <w:tc>
          <w:tcPr>
            <w:tcW w:w="6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6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tcBorders>
              <w:lef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6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48"/>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w:t>
            </w:r>
          </w:p>
        </w:tc>
        <w:tc>
          <w:tcPr>
            <w:tcW w:w="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234</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8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w:t>
            </w:r>
          </w:p>
        </w:tc>
        <w:tc>
          <w:tcPr>
            <w:tcW w:w="38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80" w:type="dxa"/>
            <w:vAlign w:val="bottom"/>
          </w:tcPr>
          <w:p>
            <w:pPr>
              <w:spacing w:after="0"/>
              <w:rPr>
                <w:sz w:val="12"/>
                <w:szCs w:val="12"/>
                <w:color w:val="auto"/>
              </w:rPr>
            </w:pPr>
          </w:p>
        </w:tc>
        <w:tc>
          <w:tcPr>
            <w:tcW w:w="3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w:t>
            </w:r>
          </w:p>
        </w:tc>
        <w:tc>
          <w:tcPr>
            <w:tcW w:w="100" w:type="dxa"/>
            <w:vAlign w:val="bottom"/>
          </w:tcPr>
          <w:p>
            <w:pPr>
              <w:spacing w:after="0"/>
              <w:rPr>
                <w:sz w:val="12"/>
                <w:szCs w:val="12"/>
                <w:color w:val="auto"/>
              </w:rPr>
            </w:pPr>
          </w:p>
        </w:tc>
      </w:tr>
      <w:tr>
        <w:trPr>
          <w:trHeight w:val="148"/>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Investment in unconsolidated affiliates</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w:t>
            </w:r>
          </w:p>
        </w:tc>
        <w:tc>
          <w:tcPr>
            <w:tcW w:w="32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135</w:t>
            </w:r>
          </w:p>
        </w:tc>
        <w:tc>
          <w:tcPr>
            <w:tcW w:w="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shd w:val="clear" w:color="auto" w:fill="CFF0FC"/>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22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80" w:type="dxa"/>
            <w:vAlign w:val="bottom"/>
            <w:tcBorders>
              <w:left w:val="single" w:sz="8" w:color="CFF0FC"/>
            </w:tcBorders>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167</w:t>
            </w:r>
          </w:p>
        </w:tc>
        <w:tc>
          <w:tcPr>
            <w:tcW w:w="380" w:type="dxa"/>
            <w:vAlign w:val="bottom"/>
            <w:gridSpan w:val="2"/>
            <w:shd w:val="clear" w:color="auto" w:fill="CFF0FC"/>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173</w:t>
            </w:r>
          </w:p>
        </w:tc>
        <w:tc>
          <w:tcPr>
            <w:tcW w:w="100" w:type="dxa"/>
            <w:vAlign w:val="bottom"/>
            <w:shd w:val="clear" w:color="auto" w:fill="CFF0FC"/>
          </w:tcPr>
          <w:p>
            <w:pPr>
              <w:spacing w:after="0"/>
              <w:rPr>
                <w:sz w:val="12"/>
                <w:szCs w:val="12"/>
                <w:color w:val="auto"/>
              </w:rPr>
            </w:pPr>
          </w:p>
        </w:tc>
      </w:tr>
      <w:tr>
        <w:trPr>
          <w:trHeight w:val="149"/>
        </w:trPr>
        <w:tc>
          <w:tcPr>
            <w:tcW w:w="338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781</w:t>
            </w:r>
          </w:p>
        </w:tc>
        <w:tc>
          <w:tcPr>
            <w:tcW w:w="32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30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3"/>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1,587</w:t>
            </w:r>
          </w:p>
        </w:tc>
        <w:tc>
          <w:tcPr>
            <w:tcW w:w="2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818</w:t>
            </w:r>
          </w:p>
        </w:tc>
        <w:tc>
          <w:tcPr>
            <w:tcW w:w="180" w:type="dxa"/>
            <w:vAlign w:val="bottom"/>
          </w:tcPr>
          <w:p>
            <w:pPr>
              <w:spacing w:after="0"/>
              <w:rPr>
                <w:sz w:val="12"/>
                <w:szCs w:val="12"/>
                <w:color w:val="auto"/>
              </w:rPr>
            </w:pPr>
          </w:p>
        </w:tc>
        <w:tc>
          <w:tcPr>
            <w:tcW w:w="20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805</w:t>
            </w:r>
          </w:p>
        </w:tc>
        <w:tc>
          <w:tcPr>
            <w:tcW w:w="380" w:type="dxa"/>
            <w:vAlign w:val="bottom"/>
            <w:gridSpan w:val="2"/>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4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1,623</w:t>
            </w:r>
          </w:p>
        </w:tc>
        <w:tc>
          <w:tcPr>
            <w:tcW w:w="100" w:type="dxa"/>
            <w:vAlign w:val="bottom"/>
          </w:tcPr>
          <w:p>
            <w:pPr>
              <w:spacing w:after="0"/>
              <w:rPr>
                <w:sz w:val="12"/>
                <w:szCs w:val="12"/>
                <w:color w:val="auto"/>
              </w:rPr>
            </w:pPr>
          </w:p>
        </w:tc>
      </w:tr>
      <w:tr>
        <w:trPr>
          <w:trHeight w:val="148"/>
        </w:trPr>
        <w:tc>
          <w:tcPr>
            <w:tcW w:w="3380" w:type="dxa"/>
            <w:vAlign w:val="bottom"/>
            <w:shd w:val="clear" w:color="auto" w:fill="CFF0FC"/>
          </w:tcPr>
          <w:p>
            <w:pPr>
              <w:ind w:left="40"/>
              <w:spacing w:after="0" w:line="149" w:lineRule="exact"/>
              <w:rPr>
                <w:sz w:val="20"/>
                <w:szCs w:val="20"/>
                <w:color w:val="auto"/>
              </w:rPr>
            </w:pPr>
            <w:r>
              <w:rPr>
                <w:rFonts w:ascii="Times New Roman" w:cs="Times New Roman" w:eastAsia="Times New Roman" w:hAnsi="Times New Roman"/>
                <w:sz w:val="14"/>
                <w:szCs w:val="14"/>
                <w:color w:val="auto"/>
              </w:rPr>
              <w:t>Intangibles, net</w:t>
            </w: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320" w:type="dxa"/>
            <w:vAlign w:val="bottom"/>
            <w:gridSpan w:val="2"/>
            <w:shd w:val="clear" w:color="auto" w:fill="CFF0FC"/>
          </w:tcPr>
          <w:p>
            <w:pPr>
              <w:ind w:lef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w:t>
            </w:r>
          </w:p>
        </w:tc>
        <w:tc>
          <w:tcPr>
            <w:tcW w:w="300" w:type="dxa"/>
            <w:vAlign w:val="bottom"/>
            <w:gridSpan w:val="3"/>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right w:val="single" w:sz="8" w:color="CFF0FC"/>
            </w:tcBorders>
            <w:gridSpan w:val="3"/>
            <w:shd w:val="clear" w:color="auto" w:fill="CFF0FC"/>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429</w:t>
            </w: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180" w:type="dxa"/>
            <w:vAlign w:val="bottom"/>
            <w:tcBorders>
              <w:left w:val="single" w:sz="8" w:color="CFF0FC"/>
            </w:tcBorders>
            <w:shd w:val="clear" w:color="auto" w:fill="CFF0FC"/>
          </w:tcPr>
          <w:p>
            <w:pPr>
              <w:spacing w:after="0"/>
              <w:rPr>
                <w:sz w:val="12"/>
                <w:szCs w:val="12"/>
                <w:color w:val="auto"/>
              </w:rPr>
            </w:pPr>
          </w:p>
        </w:tc>
        <w:tc>
          <w:tcPr>
            <w:tcW w:w="200" w:type="dxa"/>
            <w:vAlign w:val="bottom"/>
            <w:gridSpan w:val="2"/>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327</w:t>
            </w:r>
          </w:p>
        </w:tc>
        <w:tc>
          <w:tcPr>
            <w:tcW w:w="380" w:type="dxa"/>
            <w:vAlign w:val="bottom"/>
            <w:gridSpan w:val="2"/>
            <w:shd w:val="clear" w:color="auto" w:fill="CFF0FC"/>
          </w:tcPr>
          <w:p>
            <w:pPr>
              <w:jc w:val="right"/>
              <w:ind w:right="36"/>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2"/>
                <w:szCs w:val="12"/>
                <w:color w:val="auto"/>
              </w:rPr>
            </w:pPr>
          </w:p>
        </w:tc>
        <w:tc>
          <w:tcPr>
            <w:tcW w:w="440" w:type="dxa"/>
            <w:vAlign w:val="bottom"/>
            <w:gridSpan w:val="2"/>
            <w:shd w:val="clear" w:color="auto" w:fill="CFF0FC"/>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466</w:t>
            </w:r>
          </w:p>
        </w:tc>
        <w:tc>
          <w:tcPr>
            <w:tcW w:w="100" w:type="dxa"/>
            <w:vAlign w:val="bottom"/>
            <w:shd w:val="clear" w:color="auto" w:fill="CFF0FC"/>
          </w:tcPr>
          <w:p>
            <w:pPr>
              <w:spacing w:after="0"/>
              <w:rPr>
                <w:sz w:val="12"/>
                <w:szCs w:val="12"/>
                <w:color w:val="auto"/>
              </w:rPr>
            </w:pPr>
          </w:p>
        </w:tc>
      </w:tr>
      <w:tr>
        <w:trPr>
          <w:trHeight w:val="188"/>
        </w:trPr>
        <w:tc>
          <w:tcPr>
            <w:tcW w:w="3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assets</w:t>
            </w: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5,057</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4,884</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1,283</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11,224</w:t>
            </w:r>
          </w:p>
        </w:tc>
        <w:tc>
          <w:tcPr>
            <w:tcW w:w="22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180" w:type="dxa"/>
            <w:vAlign w:val="bottom"/>
          </w:tcPr>
          <w:p>
            <w:pPr>
              <w:spacing w:after="0"/>
              <w:rPr>
                <w:sz w:val="16"/>
                <w:szCs w:val="16"/>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4,883</w:t>
            </w:r>
          </w:p>
        </w:tc>
        <w:tc>
          <w:tcPr>
            <w:tcW w:w="38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1,373</w:t>
            </w:r>
          </w:p>
        </w:tc>
        <w:tc>
          <w:tcPr>
            <w:tcW w:w="80" w:type="dxa"/>
            <w:vAlign w:val="bottom"/>
          </w:tcPr>
          <w:p>
            <w:pPr>
              <w:spacing w:after="0"/>
              <w:rPr>
                <w:sz w:val="16"/>
                <w:szCs w:val="16"/>
                <w:color w:val="auto"/>
              </w:rPr>
            </w:pPr>
          </w:p>
        </w:tc>
        <w:tc>
          <w:tcPr>
            <w:tcW w:w="30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11,338</w:t>
            </w: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3828415</wp:posOffset>
            </wp:positionH>
            <wp:positionV relativeFrom="paragraph">
              <wp:posOffset>-2296160</wp:posOffset>
            </wp:positionV>
            <wp:extent cx="774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-2296160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-2296160</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-2296160</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-2099310</wp:posOffset>
            </wp:positionV>
            <wp:extent cx="7747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-2099310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-2099310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-2099310</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-710565</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2628265</wp:posOffset>
            </wp:positionH>
            <wp:positionV relativeFrom="paragraph">
              <wp:posOffset>-693420</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-710565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-693420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-710565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-693420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-710565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-693420</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-710565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-693420</wp:posOffset>
            </wp:positionV>
            <wp:extent cx="685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-710565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-693420</wp:posOffset>
            </wp:positionV>
            <wp:extent cx="6858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-710565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6383020</wp:posOffset>
            </wp:positionH>
            <wp:positionV relativeFrom="paragraph">
              <wp:posOffset>-693420</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-710565</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0" w:lineRule="exact"/>
        <w:rPr>
          <w:sz w:val="20"/>
          <w:szCs w:val="20"/>
          <w:color w:val="auto"/>
        </w:rPr>
      </w:pPr>
    </w:p>
    <w:p>
      <w:pPr>
        <w:ind w:left="380" w:hanging="372"/>
        <w:spacing w:after="0" w:line="282"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items represent amounts necessary to reconcile segment revenue less significant expenses categories to segment operating profit and include items such as restructuring charges, other non-recurring items, and amounts not regularly reviewed by the CODM.</w:t>
      </w:r>
    </w:p>
    <w:p>
      <w:pPr>
        <w:spacing w:after="0" w:line="53" w:lineRule="exact"/>
        <w:rPr>
          <w:rFonts w:ascii="Times New Roman" w:cs="Times New Roman" w:eastAsia="Times New Roman" w:hAnsi="Times New Roman"/>
          <w:sz w:val="18"/>
          <w:szCs w:val="18"/>
          <w:color w:val="auto"/>
        </w:rPr>
      </w:pPr>
    </w:p>
    <w:p>
      <w:pPr>
        <w:jc w:val="both"/>
        <w:ind w:left="380" w:hanging="372"/>
        <w:spacing w:after="0" w:line="258" w:lineRule="auto"/>
        <w:tabs>
          <w:tab w:leader="none" w:pos="3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and corporate costs include intercompany transactions conducted between the two reporting segments and with Corporate that are eliminated in consolidation, as well as corporate costs not allocated to the segments. Intercompany transactions within each reporting segment are eliminated within each reporting segment. Also included in the eliminations and corporate costs column are capital expenditures and total assets related to corporate. Corporate assets consist primarily of cash, fixed assets, and right-of-use assets.</w:t>
      </w:r>
    </w:p>
    <w:p>
      <w:pPr>
        <w:spacing w:after="0" w:line="75" w:lineRule="exact"/>
        <w:rPr>
          <w:rFonts w:ascii="Times New Roman" w:cs="Times New Roman" w:eastAsia="Times New Roman" w:hAnsi="Times New Roman"/>
          <w:sz w:val="18"/>
          <w:szCs w:val="18"/>
          <w:color w:val="auto"/>
        </w:rPr>
      </w:pPr>
    </w:p>
    <w:p>
      <w:pPr>
        <w:jc w:val="center"/>
        <w:ind w:left="5540" w:right="80" w:hanging="5532"/>
        <w:spacing w:after="0" w:line="282" w:lineRule="auto"/>
        <w:tabs>
          <w:tab w:leader="none" w:pos="38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certain corporate expenses not allocated to the segments, restructuring related to centrally managed initiatives and other non-recurring items.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444500</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disaggregate our revenue by destinations and revenue streams, as we believe it best depicts how the nature, amount, timing and uncertainty of our revenue and cash flows are affected by economic factors (in millions).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table below, North America includes only the U.S. and Canada:</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3"/>
                <w:szCs w:val="13"/>
                <w:b w:val="1"/>
                <w:bCs w:val="1"/>
                <w:color w:val="auto"/>
                <w:w w:val="97"/>
              </w:rPr>
              <w:t>Three Months Ended September 30,</w:t>
            </w: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28"/>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1"/>
              <w:spacing w:after="0" w:line="136"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and Services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and Services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5"/>
              </w:rPr>
              <w:t>Eliminations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42"/>
        </w:trPr>
        <w:tc>
          <w:tcPr>
            <w:tcW w:w="1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North America</w:t>
            </w:r>
          </w:p>
        </w:tc>
        <w:tc>
          <w:tcPr>
            <w:tcW w:w="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266</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593</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859</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275</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537</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FF0FC"/>
          </w:tcPr>
          <w:p>
            <w:pPr>
              <w:spacing w:after="0"/>
              <w:rPr>
                <w:sz w:val="12"/>
                <w:szCs w:val="12"/>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935</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1,367</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409</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w:t>
            </w:r>
          </w:p>
        </w:tc>
        <w:tc>
          <w:tcPr>
            <w:tcW w:w="100" w:type="dxa"/>
            <w:vAlign w:val="bottom"/>
          </w:tcPr>
          <w:p>
            <w:pPr>
              <w:spacing w:after="0"/>
              <w:rPr>
                <w:sz w:val="12"/>
                <w:szCs w:val="12"/>
                <w:color w:val="auto"/>
              </w:rPr>
            </w:pPr>
          </w:p>
        </w:tc>
      </w:tr>
      <w:tr>
        <w:trPr>
          <w:trHeight w:val="148"/>
        </w:trPr>
        <w:tc>
          <w:tcPr>
            <w:tcW w:w="1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1620" w:type="dxa"/>
            <w:vAlign w:val="bottom"/>
          </w:tcPr>
          <w:p>
            <w:pPr>
              <w:spacing w:after="0"/>
              <w:rPr>
                <w:sz w:val="12"/>
                <w:szCs w:val="12"/>
                <w:color w:val="auto"/>
              </w:rPr>
            </w:pPr>
          </w:p>
        </w:tc>
        <w:tc>
          <w:tcPr>
            <w:tcW w:w="5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w:t>
            </w:r>
          </w:p>
        </w:tc>
        <w:tc>
          <w:tcPr>
            <w:tcW w:w="3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300" w:type="dxa"/>
            <w:vAlign w:val="bottom"/>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2,226</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971</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2,176</w:t>
            </w:r>
          </w:p>
        </w:tc>
        <w:tc>
          <w:tcPr>
            <w:tcW w:w="100" w:type="dxa"/>
            <w:vAlign w:val="bottom"/>
          </w:tcPr>
          <w:p>
            <w:pPr>
              <w:spacing w:after="0"/>
              <w:rPr>
                <w:sz w:val="12"/>
                <w:szCs w:val="12"/>
                <w:color w:val="auto"/>
              </w:rPr>
            </w:pPr>
          </w:p>
        </w:tc>
      </w:tr>
      <w:tr>
        <w:trPr>
          <w:trHeight w:val="20"/>
        </w:trPr>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620" w:type="dxa"/>
            <w:vAlign w:val="bottom"/>
            <w:shd w:val="clear" w:color="auto" w:fill="CFF0FC"/>
          </w:tcPr>
          <w:p>
            <w:pPr>
              <w:spacing w:after="0"/>
              <w:rPr>
                <w:sz w:val="11"/>
                <w:szCs w:val="11"/>
                <w:color w:val="auto"/>
              </w:rPr>
            </w:pPr>
          </w:p>
        </w:tc>
        <w:tc>
          <w:tcPr>
            <w:tcW w:w="3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772</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1,167</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379</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00" w:type="dxa"/>
            <w:vAlign w:val="bottom"/>
          </w:tcPr>
          <w:p>
            <w:pPr>
              <w:spacing w:after="0"/>
              <w:rPr>
                <w:sz w:val="12"/>
                <w:szCs w:val="12"/>
                <w:color w:val="auto"/>
              </w:rPr>
            </w:pPr>
          </w:p>
        </w:tc>
      </w:tr>
      <w:tr>
        <w:trPr>
          <w:trHeight w:val="149"/>
        </w:trPr>
        <w:tc>
          <w:tcPr>
            <w:tcW w:w="1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Offshore</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806</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851</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246</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1,097</w:t>
            </w:r>
          </w:p>
        </w:tc>
        <w:tc>
          <w:tcPr>
            <w:tcW w:w="100" w:type="dxa"/>
            <w:vAlign w:val="bottom"/>
            <w:shd w:val="clear" w:color="auto" w:fill="CFF0FC"/>
          </w:tcPr>
          <w:p>
            <w:pPr>
              <w:spacing w:after="0"/>
              <w:rPr>
                <w:sz w:val="12"/>
                <w:szCs w:val="12"/>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1,220</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1,057</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(51)</w:t>
            </w:r>
          </w:p>
        </w:tc>
        <w:tc>
          <w:tcPr>
            <w:tcW w:w="300" w:type="dxa"/>
            <w:vAlign w:val="bottom"/>
            <w:gridSpan w:val="2"/>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2,226</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1,247</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971</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(42)</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2,176</w:t>
            </w:r>
          </w:p>
        </w:tc>
        <w:tc>
          <w:tcPr>
            <w:tcW w:w="100" w:type="dxa"/>
            <w:vAlign w:val="bottom"/>
            <w:shd w:val="clear" w:color="auto" w:fill="CFF0FC"/>
          </w:tcPr>
          <w:p>
            <w:pPr>
              <w:spacing w:after="0"/>
              <w:rPr>
                <w:sz w:val="14"/>
                <w:szCs w:val="14"/>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399"/>
        </w:trPr>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right"/>
              <w:ind w:right="70"/>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28"/>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gridSpan w:val="2"/>
          </w:tcPr>
          <w:p>
            <w:pPr>
              <w:jc w:val="right"/>
              <w:ind w:right="40"/>
              <w:spacing w:after="0" w:line="129" w:lineRule="exact"/>
              <w:rPr>
                <w:sz w:val="20"/>
                <w:szCs w:val="20"/>
                <w:color w:val="auto"/>
              </w:rPr>
            </w:pPr>
            <w:r>
              <w:rPr>
                <w:rFonts w:ascii="Times New Roman" w:cs="Times New Roman" w:eastAsia="Times New Roman" w:hAnsi="Times New Roman"/>
                <w:sz w:val="13"/>
                <w:szCs w:val="13"/>
                <w:b w:val="1"/>
                <w:bCs w:val="1"/>
                <w:color w:val="auto"/>
              </w:rPr>
              <w:t>2026</w:t>
            </w: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gridSpan w:val="3"/>
          </w:tcPr>
          <w:p>
            <w:pPr>
              <w:jc w:val="right"/>
              <w:ind w:right="100"/>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6"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1"/>
              <w:spacing w:after="0" w:line="136"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1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tcPr>
          <w:p>
            <w:pPr>
              <w:jc w:val="center"/>
              <w:ind w:right="9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360"/>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Products</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jc w:val="center"/>
              <w:ind w:right="50"/>
              <w:spacing w:after="0" w:line="135" w:lineRule="exact"/>
              <w:rPr>
                <w:sz w:val="20"/>
                <w:szCs w:val="20"/>
                <w:color w:val="auto"/>
              </w:rPr>
            </w:pPr>
            <w:r>
              <w:rPr>
                <w:rFonts w:ascii="Times New Roman" w:cs="Times New Roman" w:eastAsia="Times New Roman" w:hAnsi="Times New Roman"/>
                <w:sz w:val="13"/>
                <w:szCs w:val="13"/>
                <w:b w:val="1"/>
                <w:bCs w:val="1"/>
                <w:color w:val="auto"/>
                <w:w w:val="98"/>
              </w:rPr>
              <w:t>Energy</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Products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55"/>
        </w:trPr>
        <w:tc>
          <w:tcPr>
            <w:tcW w:w="16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7"/>
              </w:rPr>
              <w:t>and Services</w:t>
            </w:r>
          </w:p>
        </w:tc>
        <w:tc>
          <w:tcPr>
            <w:tcW w:w="2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w w:val="98"/>
              </w:rPr>
              <w:t>Eliminations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4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7"/>
              </w:rPr>
              <w:t>and Services</w:t>
            </w:r>
          </w:p>
        </w:tc>
        <w:tc>
          <w:tcPr>
            <w:tcW w:w="2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3"/>
                <w:szCs w:val="13"/>
                <w:b w:val="1"/>
                <w:bCs w:val="1"/>
                <w:color w:val="auto"/>
                <w:w w:val="95"/>
              </w:rPr>
              <w:t>Eliminations</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3"/>
                <w:szCs w:val="13"/>
                <w:color w:val="auto"/>
              </w:rPr>
            </w:pPr>
          </w:p>
        </w:tc>
      </w:tr>
      <w:tr>
        <w:trPr>
          <w:trHeight w:val="142"/>
        </w:trPr>
        <w:tc>
          <w:tcPr>
            <w:tcW w:w="1620" w:type="dxa"/>
            <w:vAlign w:val="bottom"/>
            <w:shd w:val="clear" w:color="auto" w:fill="CFF0FC"/>
          </w:tcPr>
          <w:p>
            <w:pPr>
              <w:spacing w:after="0" w:line="142" w:lineRule="exact"/>
              <w:rPr>
                <w:sz w:val="20"/>
                <w:szCs w:val="20"/>
                <w:color w:val="auto"/>
              </w:rPr>
            </w:pPr>
            <w:r>
              <w:rPr>
                <w:rFonts w:ascii="Times New Roman" w:cs="Times New Roman" w:eastAsia="Times New Roman" w:hAnsi="Times New Roman"/>
                <w:sz w:val="14"/>
                <w:szCs w:val="14"/>
                <w:color w:val="auto"/>
              </w:rPr>
              <w:t>North America</w:t>
            </w:r>
          </w:p>
        </w:tc>
        <w:tc>
          <w:tcPr>
            <w:tcW w:w="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716</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1,676</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2,392</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807</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1,658</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2,465</w:t>
            </w:r>
          </w:p>
        </w:tc>
        <w:tc>
          <w:tcPr>
            <w:tcW w:w="100" w:type="dxa"/>
            <w:vAlign w:val="bottom"/>
            <w:shd w:val="clear" w:color="auto" w:fill="CFF0FC"/>
          </w:tcPr>
          <w:p>
            <w:pPr>
              <w:spacing w:after="0"/>
              <w:rPr>
                <w:sz w:val="12"/>
                <w:szCs w:val="12"/>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International</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2,862</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2,745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1,257</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4,002</w:t>
            </w:r>
          </w:p>
        </w:tc>
        <w:tc>
          <w:tcPr>
            <w:tcW w:w="100" w:type="dxa"/>
            <w:vAlign w:val="bottom"/>
          </w:tcPr>
          <w:p>
            <w:pPr>
              <w:spacing w:after="0"/>
              <w:rPr>
                <w:sz w:val="12"/>
                <w:szCs w:val="12"/>
                <w:color w:val="auto"/>
              </w:rPr>
            </w:pPr>
          </w:p>
        </w:tc>
      </w:tr>
      <w:tr>
        <w:trPr>
          <w:trHeight w:val="148"/>
        </w:trPr>
        <w:tc>
          <w:tcPr>
            <w:tcW w:w="1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840" w:type="dxa"/>
            <w:vAlign w:val="bottom"/>
            <w:gridSpan w:val="2"/>
            <w:shd w:val="clear" w:color="auto" w:fill="CFF0FC"/>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42"/>
        </w:trPr>
        <w:tc>
          <w:tcPr>
            <w:tcW w:w="1620" w:type="dxa"/>
            <w:vAlign w:val="bottom"/>
          </w:tcPr>
          <w:p>
            <w:pPr>
              <w:spacing w:after="0"/>
              <w:rPr>
                <w:sz w:val="12"/>
                <w:szCs w:val="12"/>
                <w:color w:val="auto"/>
              </w:rPr>
            </w:pPr>
          </w:p>
        </w:tc>
        <w:tc>
          <w:tcPr>
            <w:tcW w:w="50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3,628</w:t>
            </w:r>
          </w:p>
        </w:tc>
        <w:tc>
          <w:tcPr>
            <w:tcW w:w="360" w:type="dxa"/>
            <w:vAlign w:val="bottom"/>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300" w:type="dxa"/>
            <w:vAlign w:val="bottom"/>
            <w:gridSpan w:val="2"/>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6,412</w:t>
            </w:r>
          </w:p>
        </w:tc>
        <w:tc>
          <w:tcPr>
            <w:tcW w:w="360" w:type="dxa"/>
            <w:vAlign w:val="bottom"/>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3,600</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2,988</w:t>
            </w:r>
          </w:p>
        </w:tc>
        <w:tc>
          <w:tcPr>
            <w:tcW w:w="340" w:type="dxa"/>
            <w:vAlign w:val="bottom"/>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300" w:type="dxa"/>
            <w:vAlign w:val="bottom"/>
            <w:gridSpan w:val="2"/>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6,467</w:t>
            </w:r>
          </w:p>
        </w:tc>
        <w:tc>
          <w:tcPr>
            <w:tcW w:w="100" w:type="dxa"/>
            <w:vAlign w:val="bottom"/>
          </w:tcPr>
          <w:p>
            <w:pPr>
              <w:spacing w:after="0"/>
              <w:rPr>
                <w:sz w:val="12"/>
                <w:szCs w:val="12"/>
                <w:color w:val="auto"/>
              </w:rPr>
            </w:pPr>
          </w:p>
        </w:tc>
      </w:tr>
      <w:tr>
        <w:trPr>
          <w:trHeight w:val="20"/>
        </w:trPr>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9"/>
        </w:trPr>
        <w:tc>
          <w:tcPr>
            <w:tcW w:w="1620" w:type="dxa"/>
            <w:vAlign w:val="bottom"/>
            <w:shd w:val="clear" w:color="auto" w:fill="CFF0FC"/>
          </w:tcPr>
          <w:p>
            <w:pPr>
              <w:spacing w:after="0"/>
              <w:rPr>
                <w:sz w:val="11"/>
                <w:szCs w:val="11"/>
                <w:color w:val="auto"/>
              </w:rPr>
            </w:pPr>
          </w:p>
        </w:tc>
        <w:tc>
          <w:tcPr>
            <w:tcW w:w="500" w:type="dxa"/>
            <w:vAlign w:val="bottom"/>
            <w:gridSpan w:val="2"/>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360" w:type="dxa"/>
            <w:vAlign w:val="bottom"/>
            <w:gridSpan w:val="2"/>
            <w:shd w:val="clear" w:color="auto" w:fill="CFF0FC"/>
          </w:tcPr>
          <w:p>
            <w:pPr>
              <w:spacing w:after="0"/>
              <w:rPr>
                <w:sz w:val="11"/>
                <w:szCs w:val="11"/>
                <w:color w:val="auto"/>
              </w:rPr>
            </w:pPr>
          </w:p>
        </w:tc>
        <w:tc>
          <w:tcPr>
            <w:tcW w:w="840" w:type="dxa"/>
            <w:vAlign w:val="bottom"/>
            <w:shd w:val="clear" w:color="auto" w:fill="CFF0FC"/>
          </w:tcPr>
          <w:p>
            <w:pPr>
              <w:spacing w:after="0"/>
              <w:rPr>
                <w:sz w:val="11"/>
                <w:szCs w:val="11"/>
                <w:color w:val="auto"/>
              </w:rPr>
            </w:pPr>
          </w:p>
        </w:tc>
        <w:tc>
          <w:tcPr>
            <w:tcW w:w="240" w:type="dxa"/>
            <w:vAlign w:val="bottom"/>
            <w:tcBorders>
              <w:right w:val="single" w:sz="8" w:color="CFF0FC"/>
            </w:tcBorders>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980" w:type="dxa"/>
            <w:vAlign w:val="bottom"/>
            <w:gridSpan w:val="2"/>
            <w:shd w:val="clear" w:color="auto" w:fill="CFF0FC"/>
          </w:tcPr>
          <w:p>
            <w:pPr>
              <w:spacing w:after="0"/>
              <w:rPr>
                <w:sz w:val="11"/>
                <w:szCs w:val="11"/>
                <w:color w:val="auto"/>
              </w:rPr>
            </w:pPr>
          </w:p>
        </w:tc>
        <w:tc>
          <w:tcPr>
            <w:tcW w:w="300" w:type="dxa"/>
            <w:vAlign w:val="bottom"/>
            <w:gridSpan w:val="2"/>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360" w:type="dxa"/>
            <w:vAlign w:val="bottom"/>
            <w:gridSpan w:val="2"/>
            <w:shd w:val="clear" w:color="auto" w:fill="CFF0FC"/>
          </w:tcPr>
          <w:p>
            <w:pPr>
              <w:spacing w:after="0"/>
              <w:rPr>
                <w:sz w:val="11"/>
                <w:szCs w:val="11"/>
                <w:color w:val="auto"/>
              </w:rPr>
            </w:pPr>
          </w:p>
        </w:tc>
        <w:tc>
          <w:tcPr>
            <w:tcW w:w="800" w:type="dxa"/>
            <w:vAlign w:val="bottom"/>
            <w:shd w:val="clear" w:color="auto" w:fill="CFF0FC"/>
          </w:tcPr>
          <w:p>
            <w:pPr>
              <w:spacing w:after="0"/>
              <w:rPr>
                <w:sz w:val="11"/>
                <w:szCs w:val="11"/>
                <w:color w:val="auto"/>
              </w:rPr>
            </w:pPr>
          </w:p>
        </w:tc>
        <w:tc>
          <w:tcPr>
            <w:tcW w:w="340" w:type="dxa"/>
            <w:vAlign w:val="bottom"/>
            <w:gridSpan w:val="2"/>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340" w:type="dxa"/>
            <w:vAlign w:val="bottom"/>
            <w:gridSpan w:val="2"/>
            <w:shd w:val="clear" w:color="auto" w:fill="CFF0FC"/>
          </w:tcPr>
          <w:p>
            <w:pPr>
              <w:spacing w:after="0"/>
              <w:rPr>
                <w:sz w:val="11"/>
                <w:szCs w:val="11"/>
                <w:color w:val="auto"/>
              </w:rPr>
            </w:pPr>
          </w:p>
        </w:tc>
        <w:tc>
          <w:tcPr>
            <w:tcW w:w="960" w:type="dxa"/>
            <w:vAlign w:val="bottom"/>
            <w:gridSpan w:val="2"/>
            <w:shd w:val="clear" w:color="auto" w:fill="CFF0FC"/>
          </w:tcPr>
          <w:p>
            <w:pPr>
              <w:spacing w:after="0"/>
              <w:rPr>
                <w:sz w:val="11"/>
                <w:szCs w:val="11"/>
                <w:color w:val="auto"/>
              </w:rPr>
            </w:pPr>
          </w:p>
        </w:tc>
        <w:tc>
          <w:tcPr>
            <w:tcW w:w="300" w:type="dxa"/>
            <w:vAlign w:val="bottom"/>
            <w:gridSpan w:val="2"/>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Land</w:t>
            </w:r>
          </w:p>
        </w:tc>
        <w:tc>
          <w:tcPr>
            <w:tcW w:w="50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1,140</w:t>
            </w:r>
          </w:p>
        </w:tc>
        <w:tc>
          <w:tcPr>
            <w:tcW w:w="3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2,158</w:t>
            </w:r>
          </w:p>
        </w:tc>
        <w:tc>
          <w:tcPr>
            <w:tcW w:w="240" w:type="dxa"/>
            <w:vAlign w:val="bottom"/>
          </w:tcPr>
          <w:p>
            <w:pPr>
              <w:spacing w:after="0"/>
              <w:rPr>
                <w:sz w:val="12"/>
                <w:szCs w:val="12"/>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77"/>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3,298</w:t>
            </w:r>
          </w:p>
        </w:tc>
        <w:tc>
          <w:tcPr>
            <w:tcW w:w="3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1,198</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2,192</w:t>
            </w:r>
          </w:p>
        </w:tc>
        <w:tc>
          <w:tcPr>
            <w:tcW w:w="3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3,390</w:t>
            </w:r>
          </w:p>
        </w:tc>
        <w:tc>
          <w:tcPr>
            <w:tcW w:w="100" w:type="dxa"/>
            <w:vAlign w:val="bottom"/>
          </w:tcPr>
          <w:p>
            <w:pPr>
              <w:spacing w:after="0"/>
              <w:rPr>
                <w:sz w:val="12"/>
                <w:szCs w:val="12"/>
                <w:color w:val="auto"/>
              </w:rPr>
            </w:pPr>
          </w:p>
        </w:tc>
      </w:tr>
      <w:tr>
        <w:trPr>
          <w:trHeight w:val="148"/>
        </w:trPr>
        <w:tc>
          <w:tcPr>
            <w:tcW w:w="162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Offshore</w:t>
            </w:r>
          </w:p>
        </w:tc>
        <w:tc>
          <w:tcPr>
            <w:tcW w:w="3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2,438</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676</w:t>
            </w:r>
          </w:p>
        </w:tc>
        <w:tc>
          <w:tcPr>
            <w:tcW w:w="240" w:type="dxa"/>
            <w:vAlign w:val="bottom"/>
            <w:tcBorders>
              <w:right w:val="single" w:sz="8" w:color="CFF0FC"/>
            </w:tcBorders>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98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3,114</w:t>
            </w:r>
          </w:p>
        </w:tc>
        <w:tc>
          <w:tcPr>
            <w:tcW w:w="2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2,354</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723</w:t>
            </w:r>
          </w:p>
        </w:tc>
        <w:tc>
          <w:tcPr>
            <w:tcW w:w="2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9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7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3,077</w:t>
            </w:r>
          </w:p>
        </w:tc>
        <w:tc>
          <w:tcPr>
            <w:tcW w:w="100" w:type="dxa"/>
            <w:vAlign w:val="bottom"/>
            <w:shd w:val="clear" w:color="auto" w:fill="CFF0FC"/>
          </w:tcPr>
          <w:p>
            <w:pPr>
              <w:spacing w:after="0"/>
              <w:rPr>
                <w:sz w:val="12"/>
                <w:szCs w:val="12"/>
                <w:color w:val="auto"/>
              </w:rPr>
            </w:pPr>
          </w:p>
        </w:tc>
      </w:tr>
      <w:tr>
        <w:trPr>
          <w:trHeight w:val="148"/>
        </w:trPr>
        <w:tc>
          <w:tcPr>
            <w:tcW w:w="16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Intersegment revenue</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(144)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(121)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1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2"/>
        </w:trPr>
        <w:tc>
          <w:tcPr>
            <w:tcW w:w="1620" w:type="dxa"/>
            <w:vAlign w:val="bottom"/>
            <w:shd w:val="clear" w:color="auto" w:fill="CFF0FC"/>
          </w:tcPr>
          <w:p>
            <w:pPr>
              <w:spacing w:after="0"/>
              <w:rPr>
                <w:sz w:val="14"/>
                <w:szCs w:val="14"/>
                <w:color w:val="auto"/>
              </w:rPr>
            </w:pPr>
          </w:p>
        </w:tc>
        <w:tc>
          <w:tcPr>
            <w:tcW w:w="50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3,628</w:t>
            </w:r>
          </w:p>
        </w:tc>
        <w:tc>
          <w:tcPr>
            <w:tcW w:w="36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2,928</w:t>
            </w:r>
          </w:p>
        </w:tc>
        <w:tc>
          <w:tcPr>
            <w:tcW w:w="240" w:type="dxa"/>
            <w:vAlign w:val="bottom"/>
            <w:tcBorders>
              <w:right w:val="single" w:sz="8" w:color="CFF0FC"/>
            </w:tcBorders>
            <w:shd w:val="clear" w:color="auto" w:fill="CFF0FC"/>
          </w:tcPr>
          <w:p>
            <w:pPr>
              <w:spacing w:after="0"/>
              <w:rPr>
                <w:sz w:val="14"/>
                <w:szCs w:val="14"/>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(144)</w:t>
            </w:r>
          </w:p>
        </w:tc>
        <w:tc>
          <w:tcPr>
            <w:tcW w:w="300" w:type="dxa"/>
            <w:vAlign w:val="bottom"/>
            <w:gridSpan w:val="2"/>
            <w:shd w:val="clear" w:color="auto" w:fill="CFF0FC"/>
          </w:tcPr>
          <w:p>
            <w:pPr>
              <w:jc w:val="right"/>
              <w:ind w:right="77"/>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6,412</w:t>
            </w:r>
          </w:p>
        </w:tc>
        <w:tc>
          <w:tcPr>
            <w:tcW w:w="360" w:type="dxa"/>
            <w:vAlign w:val="bottom"/>
            <w:gridSpan w:val="2"/>
            <w:shd w:val="clear" w:color="auto" w:fill="CFF0FC"/>
          </w:tcPr>
          <w:p>
            <w:pPr>
              <w:jc w:val="right"/>
              <w:ind w:righ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3,600</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2,988</w:t>
            </w:r>
          </w:p>
        </w:tc>
        <w:tc>
          <w:tcPr>
            <w:tcW w:w="340" w:type="dxa"/>
            <w:vAlign w:val="bottom"/>
            <w:gridSpan w:val="2"/>
            <w:shd w:val="clear" w:color="auto" w:fill="CFF0FC"/>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80"/>
              <w:spacing w:after="0" w:line="142" w:lineRule="exact"/>
              <w:rPr>
                <w:sz w:val="20"/>
                <w:szCs w:val="20"/>
                <w:color w:val="auto"/>
              </w:rPr>
            </w:pPr>
            <w:r>
              <w:rPr>
                <w:rFonts w:ascii="Times New Roman" w:cs="Times New Roman" w:eastAsia="Times New Roman" w:hAnsi="Times New Roman"/>
                <w:sz w:val="14"/>
                <w:szCs w:val="14"/>
                <w:color w:val="auto"/>
              </w:rPr>
              <w:t>(121)</w:t>
            </w:r>
          </w:p>
        </w:tc>
        <w:tc>
          <w:tcPr>
            <w:tcW w:w="300" w:type="dxa"/>
            <w:vAlign w:val="bottom"/>
            <w:gridSpan w:val="2"/>
            <w:shd w:val="clear" w:color="auto" w:fill="CFF0FC"/>
          </w:tcPr>
          <w:p>
            <w:pPr>
              <w:jc w:val="right"/>
              <w:ind w:right="120"/>
              <w:spacing w:after="0" w:line="142"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6,467</w:t>
            </w:r>
          </w:p>
        </w:tc>
        <w:tc>
          <w:tcPr>
            <w:tcW w:w="100" w:type="dxa"/>
            <w:vAlign w:val="bottom"/>
            <w:shd w:val="clear" w:color="auto" w:fill="CFF0FC"/>
          </w:tcPr>
          <w:p>
            <w:pPr>
              <w:spacing w:after="0"/>
              <w:rPr>
                <w:sz w:val="14"/>
                <w:szCs w:val="14"/>
                <w:color w:val="auto"/>
              </w:rPr>
            </w:pPr>
          </w:p>
        </w:tc>
      </w:tr>
      <w:tr>
        <w:trPr>
          <w:trHeight w:val="20"/>
        </w:trPr>
        <w:tc>
          <w:tcPr>
            <w:tcW w:w="162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-2202180</wp:posOffset>
            </wp:positionV>
            <wp:extent cx="768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-2202180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-2202180</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-2202180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-2202180</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-2202180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-2202180</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-2202180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-1593850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-1576705</wp:posOffset>
            </wp:positionV>
            <wp:extent cx="768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-1593850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-1576705</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-1593850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-1576705</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-1593850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-1576705</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-1593850</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-1576705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-1593850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-1576705</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-1593850</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-1576705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-1576705</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-633730</wp:posOffset>
            </wp:positionV>
            <wp:extent cx="76835"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-633730</wp:posOffset>
            </wp:positionV>
            <wp:extent cx="6858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-633730</wp:posOffset>
            </wp:positionV>
            <wp:extent cx="6858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-633730</wp:posOffset>
            </wp:positionV>
            <wp:extent cx="6858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-633730</wp:posOffset>
            </wp:positionV>
            <wp:extent cx="685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-633730</wp:posOffset>
            </wp:positionV>
            <wp:extent cx="6858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-633730</wp:posOffset>
            </wp:positionV>
            <wp:extent cx="685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-24765</wp:posOffset>
            </wp:positionV>
            <wp:extent cx="7683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1873885</wp:posOffset>
            </wp:positionH>
            <wp:positionV relativeFrom="paragraph">
              <wp:posOffset>-7620</wp:posOffset>
            </wp:positionV>
            <wp:extent cx="768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-24765</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2645410</wp:posOffset>
            </wp:positionH>
            <wp:positionV relativeFrom="paragraph">
              <wp:posOffset>-7620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-24765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-7620</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-24765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-7620</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-24765</wp:posOffset>
            </wp:positionV>
            <wp:extent cx="6858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-24765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-7620</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6858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-7620</wp:posOffset>
            </wp:positionV>
            <wp:extent cx="6858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table below, the revenue streams of Energy Equipment are categorized as long-lived capital equipment sales and aftermarket sales and services. The revenue streams of the Energy Products and Services segment are categorized as services and rentals, sales of shorter-lived capital equipment, and sales of consumable products.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76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20" w:type="dxa"/>
            <w:vAlign w:val="bottom"/>
            <w:tcBorders>
              <w:bottom w:val="single" w:sz="8" w:color="auto"/>
            </w:tcBorders>
          </w:tcPr>
          <w:p>
            <w:pPr>
              <w:spacing w:after="0"/>
              <w:rPr>
                <w:sz w:val="15"/>
                <w:szCs w:val="15"/>
                <w:color w:val="auto"/>
              </w:rPr>
            </w:pPr>
          </w:p>
        </w:tc>
        <w:tc>
          <w:tcPr>
            <w:tcW w:w="2540" w:type="dxa"/>
            <w:vAlign w:val="bottom"/>
            <w:tcBorders>
              <w:bottom w:val="single" w:sz="8" w:color="auto"/>
            </w:tcBorders>
            <w:gridSpan w:val="3"/>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37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2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tcPr>
          <w:p>
            <w:pPr>
              <w:jc w:val="right"/>
              <w:ind w:right="11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210"/>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Equipment:</w:t>
            </w:r>
          </w:p>
        </w:tc>
        <w:tc>
          <w:tcPr>
            <w:tcW w:w="15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Capital equipment</w:t>
            </w:r>
          </w:p>
        </w:tc>
        <w:tc>
          <w:tcPr>
            <w:tcW w:w="3180" w:type="dxa"/>
            <w:vAlign w:val="bottom"/>
            <w:gridSpan w:val="2"/>
          </w:tcPr>
          <w:p>
            <w:pPr>
              <w:jc w:val="right"/>
              <w:ind w:right="14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460" w:type="dxa"/>
            <w:vAlign w:val="bottom"/>
          </w:tcPr>
          <w:p>
            <w:pPr>
              <w:spacing w:after="0"/>
              <w:rPr>
                <w:sz w:val="18"/>
                <w:szCs w:val="18"/>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Aftermarket</w:t>
            </w:r>
          </w:p>
        </w:tc>
        <w:tc>
          <w:tcPr>
            <w:tcW w:w="15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15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8"/>
                <w:szCs w:val="18"/>
                <w:color w:val="auto"/>
              </w:rPr>
            </w:pPr>
          </w:p>
        </w:tc>
      </w:tr>
      <w:tr>
        <w:trPr>
          <w:trHeight w:val="250"/>
        </w:trPr>
        <w:tc>
          <w:tcPr>
            <w:tcW w:w="37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46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6"/>
        </w:trPr>
        <w:tc>
          <w:tcPr>
            <w:tcW w:w="37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15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Services &amp; rental</w:t>
            </w:r>
          </w:p>
        </w:tc>
        <w:tc>
          <w:tcPr>
            <w:tcW w:w="3180" w:type="dxa"/>
            <w:vAlign w:val="bottom"/>
            <w:gridSpan w:val="2"/>
          </w:tcPr>
          <w:p>
            <w:pPr>
              <w:jc w:val="right"/>
              <w:ind w:right="14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w:t>
            </w:r>
          </w:p>
        </w:tc>
        <w:tc>
          <w:tcPr>
            <w:tcW w:w="460" w:type="dxa"/>
            <w:vAlign w:val="bottom"/>
          </w:tcPr>
          <w:p>
            <w:pPr>
              <w:spacing w:after="0"/>
              <w:rPr>
                <w:sz w:val="18"/>
                <w:szCs w:val="18"/>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8"/>
                <w:szCs w:val="18"/>
                <w:color w:val="auto"/>
              </w:rPr>
            </w:pPr>
          </w:p>
        </w:tc>
      </w:tr>
      <w:tr>
        <w:trPr>
          <w:trHeight w:val="216"/>
        </w:trPr>
        <w:tc>
          <w:tcPr>
            <w:tcW w:w="3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Capital equipment</w:t>
            </w:r>
          </w:p>
        </w:tc>
        <w:tc>
          <w:tcPr>
            <w:tcW w:w="15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46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shd w:val="clear" w:color="auto" w:fill="CFF0FC"/>
          </w:tcPr>
          <w:p>
            <w:pPr>
              <w:spacing w:after="0"/>
              <w:rPr>
                <w:sz w:val="18"/>
                <w:szCs w:val="18"/>
                <w:color w:val="auto"/>
              </w:rPr>
            </w:pPr>
          </w:p>
        </w:tc>
      </w:tr>
      <w:tr>
        <w:trPr>
          <w:trHeight w:val="216"/>
        </w:trPr>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Product sales</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8"/>
                <w:szCs w:val="18"/>
                <w:color w:val="auto"/>
              </w:rPr>
            </w:pPr>
          </w:p>
        </w:tc>
      </w:tr>
      <w:tr>
        <w:trPr>
          <w:trHeight w:val="216"/>
        </w:trPr>
        <w:tc>
          <w:tcPr>
            <w:tcW w:w="37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Intersegment revenue</w:t>
            </w:r>
          </w:p>
        </w:tc>
        <w:tc>
          <w:tcPr>
            <w:tcW w:w="15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560" w:type="dxa"/>
            <w:vAlign w:val="bottom"/>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46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37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16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46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15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5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(51)</w:t>
            </w:r>
          </w:p>
        </w:tc>
        <w:tc>
          <w:tcPr>
            <w:tcW w:w="10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376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CFF0FC"/>
            </w:tcBorders>
            <w:shd w:val="clear" w:color="auto" w:fill="CFF0FC"/>
          </w:tcPr>
          <w:p>
            <w:pPr>
              <w:spacing w:after="0"/>
              <w:rPr>
                <w:sz w:val="18"/>
                <w:szCs w:val="18"/>
                <w:color w:val="auto"/>
              </w:rPr>
            </w:pPr>
          </w:p>
        </w:tc>
        <w:tc>
          <w:tcPr>
            <w:tcW w:w="162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37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consolidated</w:t>
            </w:r>
          </w:p>
        </w:tc>
        <w:tc>
          <w:tcPr>
            <w:tcW w:w="3180" w:type="dxa"/>
            <w:vAlign w:val="bottom"/>
            <w:gridSpan w:val="2"/>
          </w:tcPr>
          <w:p>
            <w:pPr>
              <w:jc w:val="right"/>
              <w:ind w:right="1468"/>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460" w:type="dxa"/>
            <w:vAlign w:val="bottom"/>
          </w:tcPr>
          <w:p>
            <w:pPr>
              <w:spacing w:after="0"/>
              <w:rPr>
                <w:sz w:val="18"/>
                <w:szCs w:val="18"/>
                <w:color w:val="auto"/>
              </w:rPr>
            </w:pPr>
          </w:p>
        </w:tc>
        <w:tc>
          <w:tcPr>
            <w:tcW w:w="1020" w:type="dxa"/>
            <w:vAlign w:val="bottom"/>
          </w:tcPr>
          <w:p>
            <w:pPr>
              <w:jc w:val="right"/>
              <w:ind w:right="856"/>
              <w:spacing w:after="0"/>
              <w:rPr>
                <w:sz w:val="20"/>
                <w:szCs w:val="20"/>
                <w:color w:val="auto"/>
              </w:rPr>
            </w:pPr>
            <w:r>
              <w:rPr>
                <w:rFonts w:ascii="Times New Roman" w:cs="Times New Roman" w:eastAsia="Times New Roman" w:hAnsi="Times New Roman"/>
                <w:sz w:val="17"/>
                <w:szCs w:val="17"/>
                <w:color w:val="auto"/>
                <w:w w:val="70"/>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100" w:type="dxa"/>
            <w:vAlign w:val="bottom"/>
          </w:tcPr>
          <w:p>
            <w:pPr>
              <w:spacing w:after="0"/>
              <w:rPr>
                <w:sz w:val="18"/>
                <w:szCs w:val="18"/>
                <w:color w:val="auto"/>
              </w:rPr>
            </w:pPr>
          </w:p>
        </w:tc>
      </w:tr>
      <w:tr>
        <w:trPr>
          <w:trHeight w:val="20"/>
        </w:trPr>
        <w:tc>
          <w:tcPr>
            <w:tcW w:w="37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760" w:type="dxa"/>
            <w:vAlign w:val="bottom"/>
          </w:tcPr>
          <w:p>
            <w:pPr>
              <w:spacing w:after="0"/>
              <w:rPr>
                <w:sz w:val="24"/>
                <w:szCs w:val="24"/>
                <w:color w:val="auto"/>
              </w:rPr>
            </w:pPr>
          </w:p>
        </w:tc>
        <w:tc>
          <w:tcPr>
            <w:tcW w:w="3180" w:type="dxa"/>
            <w:vAlign w:val="bottom"/>
            <w:gridSpan w:val="2"/>
          </w:tcPr>
          <w:p>
            <w:pPr>
              <w:jc w:val="right"/>
              <w:ind w:right="1148"/>
              <w:spacing w:after="0"/>
              <w:rPr>
                <w:sz w:val="20"/>
                <w:szCs w:val="20"/>
                <w:color w:val="auto"/>
              </w:rPr>
            </w:pPr>
            <w:r>
              <w:rPr>
                <w:rFonts w:ascii="Times New Roman" w:cs="Times New Roman" w:eastAsia="Times New Roman" w:hAnsi="Times New Roman"/>
                <w:sz w:val="18"/>
                <w:szCs w:val="18"/>
                <w:color w:val="auto"/>
              </w:rPr>
              <w:t>11</w:t>
            </w:r>
          </w:p>
        </w:tc>
        <w:tc>
          <w:tcPr>
            <w:tcW w:w="10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376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-2373630</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-2356485</wp:posOffset>
            </wp:positionV>
            <wp:extent cx="6858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-2373630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-2356485</wp:posOffset>
            </wp:positionV>
            <wp:extent cx="6858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-1525270</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-942340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1" w:name="page12"/>
    <w:bookmarkEnd w:id="11"/>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6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40" w:type="dxa"/>
            <w:vAlign w:val="bottom"/>
            <w:tcBorders>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6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1680" w:type="dxa"/>
            <w:vAlign w:val="bottom"/>
            <w:tcBorders>
              <w:bottom w:val="single" w:sz="8" w:color="auto"/>
            </w:tcBorders>
          </w:tcPr>
          <w:p>
            <w:pPr>
              <w:jc w:val="right"/>
              <w:ind w:right="11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Equipment:</w:t>
            </w:r>
          </w:p>
        </w:tc>
        <w:tc>
          <w:tcPr>
            <w:tcW w:w="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Capital equipment</w:t>
            </w:r>
          </w:p>
        </w:tc>
        <w:tc>
          <w:tcPr>
            <w:tcW w:w="166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240" w:type="dxa"/>
            <w:vAlign w:val="bottom"/>
          </w:tcPr>
          <w:p>
            <w:pPr>
              <w:spacing w:after="0"/>
              <w:rPr>
                <w:sz w:val="18"/>
                <w:szCs w:val="18"/>
                <w:color w:val="auto"/>
              </w:rPr>
            </w:pPr>
          </w:p>
        </w:tc>
        <w:tc>
          <w:tcPr>
            <w:tcW w:w="1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Aftermarket</w:t>
            </w:r>
          </w:p>
        </w:tc>
        <w:tc>
          <w:tcPr>
            <w:tcW w:w="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spacing w:after="0"/>
              <w:rPr>
                <w:sz w:val="21"/>
                <w:szCs w:val="21"/>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Services &amp; rental</w:t>
            </w:r>
          </w:p>
        </w:tc>
        <w:tc>
          <w:tcPr>
            <w:tcW w:w="166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w:t>
            </w:r>
          </w:p>
        </w:tc>
        <w:tc>
          <w:tcPr>
            <w:tcW w:w="240" w:type="dxa"/>
            <w:vAlign w:val="bottom"/>
          </w:tcPr>
          <w:p>
            <w:pPr>
              <w:spacing w:after="0"/>
              <w:rPr>
                <w:sz w:val="18"/>
                <w:szCs w:val="18"/>
                <w:color w:val="auto"/>
              </w:rPr>
            </w:pPr>
          </w:p>
        </w:tc>
        <w:tc>
          <w:tcPr>
            <w:tcW w:w="1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Capital equipment</w:t>
            </w:r>
          </w:p>
        </w:tc>
        <w:tc>
          <w:tcPr>
            <w:tcW w:w="2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Product sales</w:t>
            </w: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Intersegment revenue</w:t>
            </w:r>
          </w:p>
        </w:tc>
        <w:tc>
          <w:tcPr>
            <w:tcW w:w="2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Eliminations</w:t>
            </w:r>
          </w:p>
        </w:tc>
        <w:tc>
          <w:tcPr>
            <w:tcW w:w="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(144)</w:t>
            </w: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consolidated</w:t>
            </w:r>
          </w:p>
        </w:tc>
        <w:tc>
          <w:tcPr>
            <w:tcW w:w="1660" w:type="dxa"/>
            <w:vAlign w:val="bottom"/>
            <w:gridSpan w:val="2"/>
          </w:tcPr>
          <w:p>
            <w:pPr>
              <w:jc w:val="right"/>
              <w:ind w:right="1488"/>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40" w:type="dxa"/>
            <w:vAlign w:val="bottom"/>
          </w:tcPr>
          <w:p>
            <w:pPr>
              <w:spacing w:after="0"/>
              <w:rPr>
                <w:sz w:val="18"/>
                <w:szCs w:val="18"/>
                <w:color w:val="auto"/>
              </w:rPr>
            </w:pPr>
          </w:p>
        </w:tc>
        <w:tc>
          <w:tcPr>
            <w:tcW w:w="1200" w:type="dxa"/>
            <w:vAlign w:val="bottom"/>
            <w:gridSpan w:val="2"/>
          </w:tcPr>
          <w:p>
            <w:pPr>
              <w:jc w:val="right"/>
              <w:ind w:right="94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5036820</wp:posOffset>
            </wp:positionH>
            <wp:positionV relativeFrom="paragraph">
              <wp:posOffset>-1602105</wp:posOffset>
            </wp:positionV>
            <wp:extent cx="6858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-1585595</wp:posOffset>
            </wp:positionV>
            <wp:extent cx="6858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-1602105</wp:posOffset>
            </wp:positionV>
            <wp:extent cx="7747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-1585595</wp:posOffset>
            </wp:positionV>
            <wp:extent cx="7747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-753745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-753745</wp:posOffset>
            </wp:positionV>
            <wp:extent cx="7747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-170815</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7747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revenue recognized from performance obligations satisfied in previous periods was $11 million for the nine months ended September 30, 2026.</w:t>
      </w:r>
    </w:p>
    <w:p>
      <w:pPr>
        <w:spacing w:after="0" w:line="11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all revenue streams for which work has not been performed on contracts with original expected duration of one year or more. We do not disclose the remaining performance obligations of royalty contracts, service contracts for which there is a right to invoice, and short-term contracts that are expected to have a duration of one year or less. As of September 30, 2026, the aggregate amount of the transaction price allocated to remaining performance obligations was $4,272 million. Although numerous factors can affect timing of revenue recognized on performance obligations, such as customer change orders, supplier accelerations or delays, and the current uncertainty and conflict in the Middle East, the Company expects to recognize approximately $555 million in revenue for the remaining performance obligations in the remainder of 2026, $1,708 million in 2027, $778 million in 2028, and $1,231 million thereafter.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assets include unbilled amounts when revenue recognized exceeds the amount billed to the customer under contracts where revenue is recognized over-time. There were no impairment losses recorded on contract assets for the three and nine months ended September 30, 2026 and 2025.</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liabilities consist of advance payments, billings in excess of revenue recognized and deferred revenue.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contract assets and contract liabilities are as follows (in millions):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73"/>
        </w:trPr>
        <w:tc>
          <w:tcPr>
            <w:tcW w:w="43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1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4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7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5"/>
                <w:szCs w:val="15"/>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3660" w:type="dxa"/>
            <w:vAlign w:val="bottom"/>
            <w:gridSpan w:val="2"/>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20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FF0FC"/>
          </w:tcPr>
          <w:p>
            <w:pPr>
              <w:spacing w:after="0"/>
              <w:rPr>
                <w:sz w:val="18"/>
                <w:szCs w:val="18"/>
                <w:color w:val="auto"/>
              </w:rPr>
            </w:pP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Billings</w:t>
            </w:r>
          </w:p>
        </w:tc>
        <w:tc>
          <w:tcPr>
            <w:tcW w:w="2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(1,285)</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Pr>
          <w:p>
            <w:pPr>
              <w:spacing w:after="0"/>
              <w:rPr>
                <w:sz w:val="18"/>
                <w:szCs w:val="18"/>
                <w:color w:val="auto"/>
              </w:rPr>
            </w:pPr>
          </w:p>
        </w:tc>
      </w:tr>
      <w:tr>
        <w:trPr>
          <w:trHeight w:val="216"/>
        </w:trPr>
        <w:tc>
          <w:tcPr>
            <w:tcW w:w="4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Revenue recognized</w:t>
            </w:r>
          </w:p>
        </w:tc>
        <w:tc>
          <w:tcPr>
            <w:tcW w:w="216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(1,034)</w:t>
            </w:r>
          </w:p>
        </w:tc>
      </w:tr>
      <w:tr>
        <w:trPr>
          <w:trHeight w:val="216"/>
        </w:trPr>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2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43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2160" w:type="dxa"/>
            <w:vAlign w:val="bottom"/>
            <w:shd w:val="clear" w:color="auto" w:fill="CFF0FC"/>
          </w:tcPr>
          <w:p>
            <w:pPr>
              <w:spacing w:after="0"/>
              <w:rPr>
                <w:sz w:val="21"/>
                <w:szCs w:val="21"/>
                <w:color w:val="auto"/>
              </w:rPr>
            </w:pPr>
          </w:p>
        </w:tc>
        <w:tc>
          <w:tcPr>
            <w:tcW w:w="1500" w:type="dxa"/>
            <w:vAlign w:val="bottom"/>
            <w:shd w:val="clear" w:color="auto" w:fill="CFF0FC"/>
          </w:tcPr>
          <w:p>
            <w:pPr>
              <w:jc w:val="right"/>
              <w:ind w:right="1322"/>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200" w:type="dxa"/>
            <w:vAlign w:val="bottom"/>
            <w:shd w:val="clear" w:color="auto" w:fill="CFF0FC"/>
          </w:tcPr>
          <w:p>
            <w:pPr>
              <w:spacing w:after="0"/>
              <w:rPr>
                <w:sz w:val="21"/>
                <w:szCs w:val="21"/>
                <w:color w:val="auto"/>
              </w:rPr>
            </w:pPr>
          </w:p>
        </w:tc>
        <w:tc>
          <w:tcPr>
            <w:tcW w:w="56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00" w:type="dxa"/>
            <w:vAlign w:val="bottom"/>
            <w:shd w:val="clear" w:color="auto" w:fill="CFF0FC"/>
          </w:tcPr>
          <w:p>
            <w:pPr>
              <w:spacing w:after="0"/>
              <w:rPr>
                <w:sz w:val="21"/>
                <w:szCs w:val="21"/>
                <w:color w:val="auto"/>
              </w:rPr>
            </w:pPr>
          </w:p>
        </w:tc>
      </w:tr>
      <w:tr>
        <w:trPr>
          <w:trHeight w:val="413"/>
        </w:trPr>
        <w:tc>
          <w:tcPr>
            <w:tcW w:w="4380" w:type="dxa"/>
            <w:vAlign w:val="bottom"/>
            <w:tcBorders>
              <w:top w:val="single" w:sz="8" w:color="CFF0FC"/>
            </w:tcBorders>
          </w:tcPr>
          <w:p>
            <w:pPr>
              <w:spacing w:after="0"/>
              <w:rPr>
                <w:sz w:val="24"/>
                <w:szCs w:val="24"/>
                <w:color w:val="auto"/>
              </w:rPr>
            </w:pPr>
          </w:p>
        </w:tc>
        <w:tc>
          <w:tcPr>
            <w:tcW w:w="2160" w:type="dxa"/>
            <w:vAlign w:val="bottom"/>
            <w:tcBorders>
              <w:top w:val="single" w:sz="8" w:color="CFF0FC"/>
            </w:tcBorders>
          </w:tcPr>
          <w:p>
            <w:pPr>
              <w:jc w:val="right"/>
              <w:ind w:right="730"/>
              <w:spacing w:after="0"/>
              <w:rPr>
                <w:sz w:val="20"/>
                <w:szCs w:val="20"/>
                <w:color w:val="auto"/>
              </w:rPr>
            </w:pPr>
            <w:r>
              <w:rPr>
                <w:rFonts w:ascii="Times New Roman" w:cs="Times New Roman" w:eastAsia="Times New Roman" w:hAnsi="Times New Roman"/>
                <w:sz w:val="18"/>
                <w:szCs w:val="18"/>
                <w:color w:val="auto"/>
              </w:rPr>
              <w:t>12</w:t>
            </w:r>
          </w:p>
        </w:tc>
        <w:tc>
          <w:tcPr>
            <w:tcW w:w="15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38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-796290</wp:posOffset>
            </wp:positionV>
            <wp:extent cx="6858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5516880</wp:posOffset>
            </wp:positionH>
            <wp:positionV relativeFrom="paragraph">
              <wp:posOffset>-779780</wp:posOffset>
            </wp:positionV>
            <wp:extent cx="6858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-779780</wp:posOffset>
            </wp:positionV>
            <wp:extent cx="6858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884"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information about past events, current conditions and risk characteristics of each customer, and reasonable and supportable forecasts relevant to assessing risk associated with the collectability of receivables and contract assets. The Company’s customer base, mostly in the oil and gas industry, has generally similar collectability risk characteristics, although larger and state-owned customers may have lower risk than smaller independent customers. As of September 30, 2026, the allowance for credit losses on accounts receivable and contract assets totaled $53 million.</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80" w:type="dxa"/>
            <w:vAlign w:val="bottom"/>
          </w:tcPr>
          <w:p>
            <w:pPr>
              <w:spacing w:after="0"/>
              <w:rPr>
                <w:sz w:val="20"/>
                <w:szCs w:val="20"/>
                <w:color w:val="auto"/>
              </w:rPr>
            </w:pPr>
            <w:r>
              <w:rPr>
                <w:rFonts w:ascii="Times New Roman" w:cs="Times New Roman" w:eastAsia="Times New Roman" w:hAnsi="Times New Roman"/>
                <w:sz w:val="18"/>
                <w:szCs w:val="18"/>
                <w:color w:val="auto"/>
              </w:rPr>
              <w:t>The changes in the carrying amount of the allowance for credit losses are as follows (in millions):</w:t>
            </w:r>
          </w:p>
        </w:tc>
        <w:tc>
          <w:tcPr>
            <w:tcW w:w="10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08"/>
        </w:trPr>
        <w:tc>
          <w:tcPr>
            <w:tcW w:w="80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9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8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960" w:type="dxa"/>
            <w:vAlign w:val="bottom"/>
            <w:gridSpan w:val="2"/>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r>
      <w:tr>
        <w:trPr>
          <w:trHeight w:val="216"/>
        </w:trPr>
        <w:tc>
          <w:tcPr>
            <w:tcW w:w="8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Recoveries collected</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Write-offs</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0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Reclass for long-term receivables</w:t>
            </w:r>
          </w:p>
        </w:tc>
        <w:tc>
          <w:tcPr>
            <w:tcW w:w="10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FF0FC"/>
          </w:tcPr>
          <w:p>
            <w:pPr>
              <w:spacing w:after="0"/>
              <w:rPr>
                <w:sz w:val="18"/>
                <w:szCs w:val="18"/>
                <w:color w:val="auto"/>
              </w:rPr>
            </w:pPr>
          </w:p>
        </w:tc>
      </w:tr>
      <w:tr>
        <w:trPr>
          <w:trHeight w:val="216"/>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0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49"/>
        </w:trPr>
        <w:tc>
          <w:tcPr>
            <w:tcW w:w="8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September 30, 2026</w:t>
            </w:r>
          </w:p>
        </w:tc>
        <w:tc>
          <w:tcPr>
            <w:tcW w:w="104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top w:val="single" w:sz="8" w:color="auto"/>
              <w:bottom w:val="single" w:sz="8" w:color="auto"/>
            </w:tcBorders>
            <w:shd w:val="clear" w:color="auto" w:fill="CFF0FC"/>
          </w:tcPr>
          <w:p>
            <w:pPr>
              <w:jc w:val="right"/>
              <w:ind w:right="7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certain facilities and equipment to support its operations around the world. These leases generally require the Company to pay maintenance, insurance, taxes and other operating costs in addition to rent. Renewal options are common in longer term leases; however, it is rare that the Company intends to exercise a lease option at inception due to the cyclical nature of the Company’s business. Residual value guarantees are not typically part of the Company’s leases. Occasionally, the Company sub-leases excess facility space, generally at terms similar to the source lease. The Company reviews new agreements to determine if they include a lease and, when they do, uses its incremental borrowing rate to determine the present value of the future lease payments as most do not include implicit interest rates.</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leases are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10"/>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7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Long-term portion of lease liabilities:</w:t>
            </w:r>
          </w:p>
        </w:tc>
        <w:tc>
          <w:tcPr>
            <w:tcW w:w="1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7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287</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Financing</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80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226</w:t>
            </w: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513</w:t>
            </w:r>
          </w:p>
        </w:tc>
        <w:tc>
          <w:tcPr>
            <w:tcW w:w="5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8. Debt</w:t>
            </w: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Debt consists of (in millions):</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6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191"/>
        </w:trPr>
        <w:tc>
          <w:tcPr>
            <w:tcW w:w="67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$1.1 billion in Senior Notes, interest at 3.95% payable semiannually, principal due on</w:t>
            </w:r>
          </w:p>
        </w:tc>
        <w:tc>
          <w:tcPr>
            <w:tcW w:w="100" w:type="dxa"/>
            <w:vAlign w:val="bottom"/>
            <w:tcBorders>
              <w:top w:val="single" w:sz="8" w:color="auto"/>
            </w:tcBorders>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40" w:type="dxa"/>
            <w:vAlign w:val="bottom"/>
            <w:tcBorders>
              <w:top w:val="single" w:sz="8" w:color="auto"/>
            </w:tcBorders>
            <w:shd w:val="clear" w:color="auto" w:fill="CFF0FC"/>
          </w:tcPr>
          <w:p>
            <w:pPr>
              <w:spacing w:after="0"/>
              <w:rPr>
                <w:sz w:val="16"/>
                <w:szCs w:val="16"/>
                <w:color w:val="auto"/>
              </w:rPr>
            </w:pPr>
          </w:p>
        </w:tc>
        <w:tc>
          <w:tcPr>
            <w:tcW w:w="240" w:type="dxa"/>
            <w:vAlign w:val="bottom"/>
            <w:tcBorders>
              <w:top w:val="single" w:sz="8" w:color="auto"/>
            </w:tcBorders>
            <w:shd w:val="clear" w:color="auto" w:fill="CFF0FC"/>
          </w:tcPr>
          <w:p>
            <w:pPr>
              <w:spacing w:after="0"/>
              <w:rPr>
                <w:sz w:val="16"/>
                <w:szCs w:val="16"/>
                <w:color w:val="auto"/>
              </w:rPr>
            </w:pPr>
          </w:p>
        </w:tc>
        <w:tc>
          <w:tcPr>
            <w:tcW w:w="174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December 1, 2042</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shd w:val="clear" w:color="auto" w:fill="CFF0FC"/>
          </w:tcPr>
          <w:p>
            <w:pPr>
              <w:spacing w:after="0"/>
              <w:rPr>
                <w:sz w:val="20"/>
                <w:szCs w:val="20"/>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60" w:type="dxa"/>
            <w:vAlign w:val="bottom"/>
            <w:shd w:val="clear" w:color="auto" w:fill="CFF0FC"/>
          </w:tcPr>
          <w:p>
            <w:pPr>
              <w:spacing w:after="0"/>
              <w:rPr>
                <w:sz w:val="20"/>
                <w:szCs w:val="20"/>
                <w:color w:val="auto"/>
              </w:rPr>
            </w:pPr>
          </w:p>
        </w:tc>
        <w:tc>
          <w:tcPr>
            <w:tcW w:w="5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7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$0.5 billion in Senior Notes, interest at 3.60% payable semiannually, principal due on</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December 1, 2029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debt</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Less current portion</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CFF0FC"/>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debt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60" w:type="dxa"/>
            <w:vAlign w:val="bottom"/>
          </w:tcPr>
          <w:p>
            <w:pPr>
              <w:spacing w:after="0"/>
              <w:rPr>
                <w:sz w:val="18"/>
                <w:szCs w:val="18"/>
                <w:color w:val="auto"/>
              </w:rPr>
            </w:pPr>
          </w:p>
        </w:tc>
        <w:tc>
          <w:tcPr>
            <w:tcW w:w="5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7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-3385185</wp:posOffset>
            </wp:positionV>
            <wp:extent cx="6858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-2802255</wp:posOffset>
            </wp:positionV>
            <wp:extent cx="6858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-1224915</wp:posOffset>
            </wp:positionV>
            <wp:extent cx="6858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-1224915</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5585460</wp:posOffset>
            </wp:positionH>
            <wp:positionV relativeFrom="paragraph">
              <wp:posOffset>-942340</wp:posOffset>
            </wp:positionV>
            <wp:extent cx="6858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-942340</wp:posOffset>
            </wp:positionV>
            <wp:extent cx="6858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3" w:name="page14"/>
    <w:bookmarkEnd w:id="13"/>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$1.5 billion through September 12, 2030. The Company has the right to increase the aggregate commitments under this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credit facility contains a financial covenant establishing a maximum debt-to-capitalization ratio of 60%. As of September 30, 2026, the Company was in compliance with a debt-to-capitalization ratio of 23.7% and had no outstanding borrowings or letters of credit issued under the facility, resulting in $1.5 billion of available funds.</w:t>
      </w:r>
    </w:p>
    <w:p>
      <w:pPr>
        <w:spacing w:after="0" w:line="8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consolidated joint venture of the Company borrowed $120 million against a $150 million bank line of credit, payable by June 2032, for the construction of a facility in Saudi Arabia. Interest under the bank line of credit is based upon SOFR plus 1.40%. The bank line of credit contains a financial covenant regarding maximum debt-to-equity ratio of 75%. As of September 30, 2026, the joint venture was in compliance and will not have future borrowings on the line of credit. As of September 30, 2026, the Company had $78 million in borrowings related to this line of credit. The carrying value of debt under the Company’s consolidated joint venture approximates fair value because the interest rates are variable and reflective of current market rates. The Company has $12 million in payments related to this line of credit due in the next twelve months. The Company can repay the entire outstanding facility balance without penalty at its sole discretion.</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debt at September 30, 2026 included $40 million of amounts owed to current minority interest partners of NOV consolidated joint ventures, of which $1 million is due in the next twelve months.</w:t>
      </w:r>
    </w:p>
    <w:p>
      <w:pPr>
        <w:spacing w:after="0" w:line="5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$1,052 million of outstanding letters of credit at September 30, 2026, primarily in the United States and Norway, that are under various bilateral letter of credit facilities. Letters of credit are issued as bid bonds, advanced payment bonds and performance bonds.</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At September 30, 2026 and December 31, 2025, the fair value of the Company’s unsecured Senior Notes approximated $1,264 million and $1,353 million, respectively. The fair value of the Company’s debt is estimated using Level 2 inputs in the GAAP fair value hierarchy and is based on quoted prices for those of similar instruments. At September 30, 2026 and December 31, 2025, the carrying value of the Company’s unsecured Senior Notes approximated $1,590 million and $1,589 million,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2026 was 22.8% and 26.7%, respectively, compared to 39.7% and 24.9% for the same period in 2025. The U.S. statutory tax rate was 21% for all periods. The effective tax rate for the three months ended September 30, 2026 was negatively impacted by a mix of earnings in higher tax rate jurisdictions, partially offset by adjustments to prior year taxes. The effective tax rate for the nine months ended September 30, 2026 was negatively impacted by a mix of earnings in higher tax rate jurisdictions, losses in certain jurisdictions with no tax benefit, and a shortfall related to previously recognized stock compensation deductibility, partially offset by the release of previously recorded reserves for unrecognized tax benefits and adjustments to prior year taxes. The effective tax rate for the three months ended September 30, 2025 was negatively impacted by a mix of earnings in higher tax rate jurisdictions, pre-tax charges discrete to the quarter in lower tax rate jurisdictions, and losses in certain jurisdictions with no tax benefit, partially offset by interest income related to payments made in connection with tax disputes of $11 million. The effective tax rate for the nine months ended September 30, 2025 was negatively impacted by a mix of earnings in higher tax rate jurisdictions and losses in certain jurisdictions with no benefit, an increase to reserves for uncertain tax positions of $23 million, unfavorable adjustments related to the carrying value of deferred tax assets of $15 million, and unfavorable adjustments related to changes in certain foreign currency exchange rates of $6 million, partially offset by the release of previously recorded reserves for uncertain tax positions of $59 million as well as interest income related to payments made in connection with tax disputes of $11 million.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Company’s stock-based compensation plan, known as the NOV Inc. Long-Term Incentive Plan (the “NOV Plan”), was approved by shareholders on May 11, 2018 and amended and restated on May 24, 2022 and May 20, 2025. The NOV Plan provides for the granting of stock options, restricted stock, restricted stock units, performance awards, phantom shares, stock appreciation rights, stock payments and substitute awards. The number of shares authorized under the NOV Plan is 70.9 million. At September 30, 2026, approximately 13.7 million shares remained available for future grants under the NOV Plan. The Company also has outstanding awards under its former stock-based compensation plan known as the National Oilwell Varco, Inc. Long-Term Incentive Plan (the “Former Plan”); however, the Company is no longer granting new awards under the Former Plan.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Total expense for all stock-based compensation arrangements was $14 million and $55 million for the three and nine months ended September 30, 2026, respectively, and $17 million and $50 million for the three and nine months ended September 30, 2025, respectively.</w:t>
      </w:r>
    </w:p>
    <w:p>
      <w:pPr>
        <w:spacing w:after="0" w:line="5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total income tax expense (benefit) recognized in the Consolidated Statements of Income for stock-based compensation arrangements was $(2) million and $(4) million for the three and nine months ended September 30, 2026, respectively, and $(1) million and $5 million for the three and nine months ended September 30, 2025, respectively.</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7"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11. Derivative Financial Instruments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uses forward currency contracts to manage the foreign currency exchange rate risk on forecasted revenues and expenses denominated in currencies other than the functional currency of the operating unit (cash flow hedge). The Company also executes forward currency contracts to manage the foreign currency exchange rate risk on recognized nonfunctional currency monetary accounts (non-designated hedge).</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fair values of these derivative financial instruments are determined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and interest rates at each financial reporting date.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currency contracts consist of (in millions):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8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4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740" w:type="dxa"/>
            <w:vAlign w:val="bottom"/>
            <w:tcBorders>
              <w:bottom w:val="single" w:sz="8" w:color="auto"/>
            </w:tcBorders>
            <w:gridSpan w:val="3"/>
          </w:tcPr>
          <w:p>
            <w:pPr>
              <w:jc w:val="right"/>
              <w:ind w:right="1539"/>
              <w:spacing w:after="0"/>
              <w:rPr>
                <w:sz w:val="20"/>
                <w:szCs w:val="20"/>
                <w:color w:val="auto"/>
              </w:rPr>
            </w:pPr>
            <w:r>
              <w:rPr>
                <w:rFonts w:ascii="Times New Roman" w:cs="Times New Roman" w:eastAsia="Times New Roman" w:hAnsi="Times New Roman"/>
                <w:sz w:val="14"/>
                <w:szCs w:val="14"/>
                <w:b w:val="1"/>
                <w:bCs w:val="1"/>
                <w:color w:val="auto"/>
              </w:rPr>
              <w:t>Currency Denomination</w:t>
            </w:r>
          </w:p>
        </w:tc>
        <w:tc>
          <w:tcPr>
            <w:tcW w:w="0" w:type="dxa"/>
            <w:vAlign w:val="bottom"/>
          </w:tcPr>
          <w:p>
            <w:pPr>
              <w:spacing w:after="0"/>
              <w:rPr>
                <w:sz w:val="1"/>
                <w:szCs w:val="1"/>
                <w:color w:val="auto"/>
              </w:rPr>
            </w:pPr>
          </w:p>
        </w:tc>
      </w:tr>
      <w:tr>
        <w:trPr>
          <w:trHeight w:val="142"/>
        </w:trPr>
        <w:tc>
          <w:tcPr>
            <w:tcW w:w="1840" w:type="dxa"/>
            <w:vAlign w:val="bottom"/>
            <w:tcBorders>
              <w:bottom w:val="single" w:sz="8" w:color="auto"/>
            </w:tcBorders>
            <w:vMerge w:val="continue"/>
          </w:tcPr>
          <w:p>
            <w:pPr>
              <w:spacing w:after="0"/>
              <w:rPr>
                <w:sz w:val="12"/>
                <w:szCs w:val="12"/>
                <w:color w:val="auto"/>
              </w:rPr>
            </w:pPr>
          </w:p>
        </w:tc>
        <w:tc>
          <w:tcPr>
            <w:tcW w:w="44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6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2"/>
                <w:szCs w:val="12"/>
                <w:color w:val="auto"/>
              </w:rPr>
            </w:pPr>
          </w:p>
        </w:tc>
        <w:tc>
          <w:tcPr>
            <w:tcW w:w="2260" w:type="dxa"/>
            <w:vAlign w:val="bottom"/>
            <w:tcBorders>
              <w:bottom w:val="single" w:sz="8" w:color="auto"/>
            </w:tcBorders>
          </w:tcPr>
          <w:p>
            <w:pPr>
              <w:jc w:val="right"/>
              <w:ind w:right="479"/>
              <w:spacing w:after="0" w:line="142" w:lineRule="exact"/>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09"/>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South Korean Won</w:t>
            </w:r>
          </w:p>
        </w:tc>
        <w:tc>
          <w:tcPr>
            <w:tcW w:w="4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KRW</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37,255</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49,790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Norwegian Krone</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NOK</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2,054</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 Dollar</w:t>
            </w:r>
          </w:p>
        </w:tc>
        <w:tc>
          <w:tcPr>
            <w:tcW w:w="4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USD</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Canadian Dollar</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CAD</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220" w:type="dxa"/>
            <w:vAlign w:val="bottom"/>
          </w:tcPr>
          <w:p>
            <w:pPr>
              <w:spacing w:after="0"/>
              <w:rPr>
                <w:sz w:val="18"/>
                <w:szCs w:val="18"/>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w:t>
            </w:r>
          </w:p>
        </w:tc>
        <w:tc>
          <w:tcPr>
            <w:tcW w:w="4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EUR</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Japanese Yen</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JPY</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569</w:t>
            </w:r>
          </w:p>
        </w:tc>
        <w:tc>
          <w:tcPr>
            <w:tcW w:w="0" w:type="dxa"/>
            <w:vAlign w:val="bottom"/>
          </w:tcPr>
          <w:p>
            <w:pPr>
              <w:spacing w:after="0"/>
              <w:rPr>
                <w:sz w:val="1"/>
                <w:szCs w:val="1"/>
                <w:color w:val="auto"/>
              </w:rPr>
            </w:pPr>
          </w:p>
        </w:tc>
      </w:tr>
      <w:tr>
        <w:trPr>
          <w:trHeight w:val="216"/>
        </w:trPr>
        <w:tc>
          <w:tcPr>
            <w:tcW w:w="1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Singapore Dollar</w:t>
            </w:r>
          </w:p>
        </w:tc>
        <w:tc>
          <w:tcPr>
            <w:tcW w:w="466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SGD</w:t>
            </w:r>
          </w:p>
        </w:tc>
        <w:tc>
          <w:tcPr>
            <w:tcW w:w="2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34"/>
        </w:trPr>
        <w:tc>
          <w:tcPr>
            <w:tcW w:w="1840" w:type="dxa"/>
            <w:vAlign w:val="bottom"/>
          </w:tcPr>
          <w:p>
            <w:pPr>
              <w:spacing w:after="0"/>
              <w:rPr>
                <w:sz w:val="20"/>
                <w:szCs w:val="20"/>
                <w:color w:val="auto"/>
              </w:rPr>
            </w:pPr>
            <w:r>
              <w:rPr>
                <w:rFonts w:ascii="Times New Roman" w:cs="Times New Roman" w:eastAsia="Times New Roman" w:hAnsi="Times New Roman"/>
                <w:sz w:val="18"/>
                <w:szCs w:val="18"/>
                <w:color w:val="auto"/>
              </w:rPr>
              <w:t>British Pound Sterling</w:t>
            </w:r>
          </w:p>
        </w:tc>
        <w:tc>
          <w:tcPr>
            <w:tcW w:w="46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GBP</w:t>
            </w: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 Hedging Strategy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against the volatility of forecasted foreign currency cash flows resulting from forecasted revenues and expenses, the Company maintains a cash flow hedging program. For derivative instruments that are designated and qualify as a cash flow hedge, the gain or loss on the derivative instrument is recorded in accumulated other comprehensive loss and reclassified into earnings in the same line item associated with the forecasted transaction and in the same period or periods during which the hedged transaction affects earnings (e.g., in “revenues” when the hedged transactions are cash flows associated with forecasted revenues). The Company includes time value in hedge relationships.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accumulated other comprehensive income of $3 million will be reclassified into earnings within the next twelve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Hedging Strategy</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enters into forward exchange contracts to hedge certain nonfunctional currency monetary accounts. The gain or loss on the derivative instrument is recognized in earnings in “Other expense, net”, together with the changes in the hedged nonfunctional monetary accounts.</w:t>
      </w:r>
    </w:p>
    <w:p>
      <w:pPr>
        <w:spacing w:after="0" w:line="5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 amount of gain (loss) recognized in “Other expense, net” was $19 million and $18 million for the three and nine months ended September 30, 2026 respectively, compared to $(13) million and $3 million for the three and nine months ended September 30, 2025, respectively.</w:t>
      </w: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Company has the following fair values of its derivative instruments and their balance sheet classifications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900" w:type="dxa"/>
            <w:vAlign w:val="bottom"/>
            <w:tcBorders>
              <w:bottom w:val="single" w:sz="8" w:color="auto"/>
            </w:tcBorders>
            <w:gridSpan w:val="3"/>
          </w:tcPr>
          <w:p>
            <w:pPr>
              <w:jc w:val="center"/>
              <w:ind w:left="145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2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120" w:type="dxa"/>
            <w:vAlign w:val="bottom"/>
          </w:tcPr>
          <w:p>
            <w:pPr>
              <w:spacing w:after="0"/>
              <w:rPr>
                <w:sz w:val="10"/>
                <w:szCs w:val="10"/>
                <w:color w:val="auto"/>
              </w:rPr>
            </w:pPr>
          </w:p>
        </w:tc>
        <w:tc>
          <w:tcPr>
            <w:tcW w:w="1020" w:type="dxa"/>
            <w:vAlign w:val="bottom"/>
            <w:gridSpan w:val="2"/>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240" w:type="dxa"/>
            <w:vAlign w:val="bottom"/>
          </w:tcPr>
          <w:p>
            <w:pPr>
              <w:spacing w:after="0"/>
              <w:rPr>
                <w:sz w:val="10"/>
                <w:szCs w:val="10"/>
                <w:color w:val="auto"/>
              </w:rPr>
            </w:pPr>
          </w:p>
        </w:tc>
        <w:tc>
          <w:tcPr>
            <w:tcW w:w="1020" w:type="dxa"/>
            <w:vAlign w:val="bottom"/>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2"/>
          </w:tcPr>
          <w:p>
            <w:pPr>
              <w:jc w:val="center"/>
              <w:ind w:left="451"/>
              <w:spacing w:after="0" w:line="118" w:lineRule="exact"/>
              <w:rPr>
                <w:sz w:val="20"/>
                <w:szCs w:val="20"/>
                <w:color w:val="auto"/>
              </w:rPr>
            </w:pPr>
            <w:r>
              <w:rPr>
                <w:rFonts w:ascii="Times New Roman" w:cs="Times New Roman" w:eastAsia="Times New Roman" w:hAnsi="Times New Roman"/>
                <w:sz w:val="13"/>
                <w:szCs w:val="13"/>
                <w:b w:val="1"/>
                <w:bCs w:val="1"/>
                <w:color w:val="auto"/>
              </w:rPr>
              <w:t>Balance Sheet</w:t>
            </w: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5"/>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September 30,</w:t>
            </w:r>
          </w:p>
        </w:tc>
        <w:tc>
          <w:tcPr>
            <w:tcW w:w="1000" w:type="dxa"/>
            <w:vAlign w:val="bottom"/>
            <w:gridSpan w:val="2"/>
          </w:tcPr>
          <w:p>
            <w:pPr>
              <w:jc w:val="right"/>
              <w:ind w:right="1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20" w:type="dxa"/>
            <w:vAlign w:val="bottom"/>
          </w:tcPr>
          <w:p>
            <w:pPr>
              <w:spacing w:after="0"/>
              <w:rPr>
                <w:sz w:val="15"/>
                <w:szCs w:val="15"/>
                <w:color w:val="auto"/>
              </w:rPr>
            </w:pPr>
          </w:p>
        </w:tc>
        <w:tc>
          <w:tcPr>
            <w:tcW w:w="7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2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60" w:type="dxa"/>
            <w:vAlign w:val="bottom"/>
            <w:tcBorders>
              <w:bottom w:val="single" w:sz="8" w:color="auto"/>
            </w:tcBorders>
            <w:gridSpan w:val="2"/>
          </w:tcPr>
          <w:p>
            <w:pPr>
              <w:jc w:val="center"/>
              <w:ind w:left="451"/>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18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Derivatives designated as hedging instruments</w:t>
            </w: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exchange contracts</w:t>
            </w:r>
          </w:p>
        </w:tc>
        <w:tc>
          <w:tcPr>
            <w:tcW w:w="2100" w:type="dxa"/>
            <w:vAlign w:val="bottom"/>
            <w:gridSpan w:val="2"/>
          </w:tcPr>
          <w:p>
            <w:pPr>
              <w:ind w:left="80"/>
              <w:spacing w:after="0" w:line="198" w:lineRule="exact"/>
              <w:rPr>
                <w:sz w:val="20"/>
                <w:szCs w:val="20"/>
                <w:color w:val="auto"/>
              </w:rPr>
            </w:pPr>
            <w:r>
              <w:rPr>
                <w:rFonts w:ascii="Times New Roman" w:cs="Times New Roman" w:eastAsia="Times New Roman" w:hAnsi="Times New Roman"/>
                <w:sz w:val="18"/>
                <w:szCs w:val="18"/>
                <w:color w:val="auto"/>
              </w:rPr>
              <w:t>Prepaid and other current</w:t>
            </w: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gridSpan w:val="2"/>
          </w:tcPr>
          <w:p>
            <w:pPr>
              <w:jc w:val="center"/>
              <w:ind w:right="4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tcPr>
          <w:p>
            <w:pPr>
              <w:spacing w:after="0"/>
              <w:rPr>
                <w:sz w:val="20"/>
                <w:szCs w:val="20"/>
                <w:color w:val="auto"/>
              </w:rPr>
            </w:pPr>
          </w:p>
        </w:tc>
        <w:tc>
          <w:tcPr>
            <w:tcW w:w="1080" w:type="dxa"/>
            <w:vAlign w:val="bottom"/>
            <w:gridSpan w:val="3"/>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100" w:type="dxa"/>
            <w:vAlign w:val="bottom"/>
            <w:tcBorders>
              <w:bottom w:val="single" w:sz="8" w:color="CFF0FC"/>
            </w:tcBorders>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gridSpan w:val="2"/>
            <w:shd w:val="clear" w:color="auto" w:fill="CFF0FC"/>
          </w:tcPr>
          <w:p>
            <w:pPr>
              <w:spacing w:after="0"/>
              <w:rPr>
                <w:sz w:val="18"/>
                <w:szCs w:val="18"/>
                <w:color w:val="auto"/>
              </w:rPr>
            </w:pPr>
          </w:p>
        </w:tc>
        <w:tc>
          <w:tcPr>
            <w:tcW w:w="1480" w:type="dxa"/>
            <w:vAlign w:val="bottom"/>
            <w:tcBorders>
              <w:bottom w:val="single" w:sz="8" w:color="CFF0FC"/>
              <w:righ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6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total</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2"/>
          </w:tcPr>
          <w:p>
            <w:pPr>
              <w:jc w:val="center"/>
              <w:ind w:right="4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160" w:type="dxa"/>
            <w:vAlign w:val="bottom"/>
            <w:gridSpan w:val="2"/>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Derivatives not designated as hedging instruments</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8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Foreign exchange contracts</w:t>
            </w:r>
          </w:p>
        </w:tc>
        <w:tc>
          <w:tcPr>
            <w:tcW w:w="2100" w:type="dxa"/>
            <w:vAlign w:val="bottom"/>
            <w:gridSpan w:val="2"/>
            <w:shd w:val="clear" w:color="auto" w:fill="CFF0FC"/>
          </w:tcPr>
          <w:p>
            <w:pPr>
              <w:ind w:left="80"/>
              <w:spacing w:after="0" w:line="198" w:lineRule="exact"/>
              <w:rPr>
                <w:sz w:val="20"/>
                <w:szCs w:val="20"/>
                <w:color w:val="auto"/>
              </w:rPr>
            </w:pPr>
            <w:r>
              <w:rPr>
                <w:rFonts w:ascii="Times New Roman" w:cs="Times New Roman" w:eastAsia="Times New Roman" w:hAnsi="Times New Roman"/>
                <w:sz w:val="18"/>
                <w:szCs w:val="18"/>
                <w:color w:val="auto"/>
              </w:rPr>
              <w:t>Prepaid and other current</w:t>
            </w: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80" w:type="dxa"/>
            <w:vAlign w:val="bottom"/>
            <w:shd w:val="clear" w:color="auto" w:fill="CFF0FC"/>
          </w:tcPr>
          <w:p>
            <w:pPr>
              <w:spacing w:after="0"/>
              <w:rPr>
                <w:sz w:val="20"/>
                <w:szCs w:val="20"/>
                <w:color w:val="auto"/>
              </w:rPr>
            </w:pPr>
          </w:p>
        </w:tc>
        <w:tc>
          <w:tcPr>
            <w:tcW w:w="210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assets</w:t>
            </w:r>
          </w:p>
        </w:tc>
        <w:tc>
          <w:tcPr>
            <w:tcW w:w="880" w:type="dxa"/>
            <w:vAlign w:val="bottom"/>
            <w:gridSpan w:val="2"/>
            <w:shd w:val="clear" w:color="auto" w:fill="CFF0FC"/>
          </w:tcPr>
          <w:p>
            <w:pPr>
              <w:jc w:val="center"/>
              <w:ind w:right="4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80" w:type="dxa"/>
            <w:vAlign w:val="bottom"/>
            <w:tcBorders>
              <w:right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liabilities</w:t>
            </w:r>
          </w:p>
        </w:tc>
        <w:tc>
          <w:tcPr>
            <w:tcW w:w="220" w:type="dxa"/>
            <w:vAlign w:val="bottom"/>
            <w:shd w:val="clear" w:color="auto" w:fill="CFF0FC"/>
          </w:tcPr>
          <w:p>
            <w:pPr>
              <w:spacing w:after="0"/>
              <w:rPr>
                <w:sz w:val="20"/>
                <w:szCs w:val="20"/>
                <w:color w:val="auto"/>
              </w:rPr>
            </w:pPr>
          </w:p>
        </w:tc>
        <w:tc>
          <w:tcPr>
            <w:tcW w:w="1080" w:type="dxa"/>
            <w:vAlign w:val="bottom"/>
            <w:gridSpan w:val="3"/>
            <w:shd w:val="clear" w:color="auto" w:fill="CFF0FC"/>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1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gridSpan w:val="2"/>
          </w:tcPr>
          <w:p>
            <w:pPr>
              <w:spacing w:after="0"/>
              <w:rPr>
                <w:sz w:val="18"/>
                <w:szCs w:val="18"/>
                <w:color w:val="auto"/>
              </w:rPr>
            </w:pPr>
          </w:p>
        </w:tc>
        <w:tc>
          <w:tcPr>
            <w:tcW w:w="14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Non-designated total</w:t>
            </w:r>
          </w:p>
        </w:tc>
        <w:tc>
          <w:tcPr>
            <w:tcW w:w="8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ind w:right="4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8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7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0" w:type="dxa"/>
            <w:vAlign w:val="bottom"/>
            <w:tcBorders>
              <w:top w:val="single" w:sz="8" w:color="CFF0FC"/>
            </w:tcBorders>
          </w:tcPr>
          <w:p>
            <w:pPr>
              <w:spacing w:after="0"/>
              <w:rPr>
                <w:sz w:val="17"/>
                <w:szCs w:val="17"/>
                <w:color w:val="auto"/>
              </w:rPr>
            </w:pPr>
          </w:p>
        </w:tc>
        <w:tc>
          <w:tcPr>
            <w:tcW w:w="1200" w:type="dxa"/>
            <w:vAlign w:val="bottom"/>
            <w:tcBorders>
              <w:top w:val="single" w:sz="8" w:color="CFF0FC"/>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6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shd w:val="clear" w:color="auto" w:fill="CFF0FC"/>
          </w:tcPr>
          <w:p>
            <w:pPr>
              <w:spacing w:after="0"/>
              <w:rPr>
                <w:sz w:val="21"/>
                <w:szCs w:val="21"/>
                <w:color w:val="auto"/>
              </w:rPr>
            </w:pPr>
          </w:p>
        </w:tc>
        <w:tc>
          <w:tcPr>
            <w:tcW w:w="202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center"/>
              <w:ind w:right="47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gridSpan w:val="2"/>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tcBorders>
              <w:right w:val="single" w:sz="8" w:color="CFF0FC"/>
            </w:tcBorders>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80" w:type="dxa"/>
            <w:vAlign w:val="bottom"/>
            <w:gridSpan w:val="3"/>
            <w:shd w:val="clear" w:color="auto" w:fill="CFF0FC"/>
          </w:tcPr>
          <w:p>
            <w:pPr>
              <w:jc w:val="right"/>
              <w:ind w:right="49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521"/>
        </w:trPr>
        <w:tc>
          <w:tcPr>
            <w:tcW w:w="4180" w:type="dxa"/>
            <w:vAlign w:val="bottom"/>
            <w:tcBorders>
              <w:top w:val="single" w:sz="8" w:color="CFF0FC"/>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12. Net Income Attributable to Company Per Share</w:t>
            </w:r>
          </w:p>
        </w:tc>
        <w:tc>
          <w:tcPr>
            <w:tcW w:w="120" w:type="dxa"/>
            <w:vAlign w:val="bottom"/>
            <w:tcBorders>
              <w:top w:val="single" w:sz="8" w:color="CFF0FC"/>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120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2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014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weighted average basic and diluted shares outstanding (in millions, except per share data):</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940" w:type="dxa"/>
            <w:vAlign w:val="bottom"/>
            <w:gridSpan w:val="8"/>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22"/>
                <w:szCs w:val="22"/>
                <w:color w:val="auto"/>
              </w:rPr>
            </w:pPr>
          </w:p>
        </w:tc>
        <w:tc>
          <w:tcPr>
            <w:tcW w:w="2760" w:type="dxa"/>
            <w:vAlign w:val="bottom"/>
            <w:gridSpan w:val="10"/>
          </w:tcPr>
          <w:p>
            <w:pPr>
              <w:ind w:left="1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gridSpan w:val="2"/>
          </w:tcPr>
          <w:p>
            <w:pPr>
              <w:ind w:left="240"/>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gridSpan w:val="2"/>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gridSpan w:val="3"/>
          </w:tcPr>
          <w:p>
            <w:pPr>
              <w:jc w:val="right"/>
              <w:ind w:right="45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4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80" w:type="dxa"/>
            <w:vAlign w:val="bottom"/>
            <w:shd w:val="clear" w:color="auto" w:fill="CFF0FC"/>
          </w:tcPr>
          <w:p>
            <w:pPr>
              <w:spacing w:after="0"/>
              <w:rPr>
                <w:sz w:val="18"/>
                <w:szCs w:val="18"/>
                <w:color w:val="auto"/>
              </w:rPr>
            </w:pPr>
          </w:p>
        </w:tc>
        <w:tc>
          <w:tcPr>
            <w:tcW w:w="20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60" w:type="dxa"/>
            <w:vAlign w:val="bottom"/>
            <w:tcBorders>
              <w:right w:val="single" w:sz="8" w:color="CFF0FC"/>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8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Basic—weighted average common shares outstanding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060" w:type="dxa"/>
            <w:vAlign w:val="bottom"/>
            <w:gridSpan w:val="5"/>
            <w:shd w:val="clear" w:color="auto" w:fill="CFF0FC"/>
          </w:tcPr>
          <w:p>
            <w:pPr>
              <w:ind w:left="60"/>
              <w:spacing w:after="0" w:line="198" w:lineRule="exact"/>
              <w:rPr>
                <w:sz w:val="20"/>
                <w:szCs w:val="20"/>
                <w:color w:val="auto"/>
              </w:rPr>
            </w:pPr>
            <w:r>
              <w:rPr>
                <w:rFonts w:ascii="Times New Roman" w:cs="Times New Roman" w:eastAsia="Times New Roman" w:hAnsi="Times New Roman"/>
                <w:sz w:val="18"/>
                <w:szCs w:val="18"/>
                <w:color w:val="auto"/>
              </w:rPr>
              <w:t>Dilutive effect of employee stock options and other unvested stock</w:t>
            </w:r>
          </w:p>
        </w:tc>
        <w:tc>
          <w:tcPr>
            <w:tcW w:w="260" w:type="dxa"/>
            <w:vAlign w:val="bottom"/>
            <w:shd w:val="clear" w:color="auto" w:fill="CFF0FC"/>
          </w:tcPr>
          <w:p>
            <w:pPr>
              <w:spacing w:after="0"/>
              <w:rPr>
                <w:sz w:val="17"/>
                <w:szCs w:val="17"/>
                <w:color w:val="auto"/>
              </w:rPr>
            </w:pPr>
          </w:p>
        </w:tc>
        <w:tc>
          <w:tcPr>
            <w:tcW w:w="104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3"/>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8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awards</w:t>
            </w:r>
          </w:p>
        </w:tc>
        <w:tc>
          <w:tcPr>
            <w:tcW w:w="80" w:type="dxa"/>
            <w:vAlign w:val="bottom"/>
            <w:tcBorders>
              <w:bottom w:val="single" w:sz="8" w:color="CFF0FC"/>
            </w:tcBorders>
            <w:shd w:val="clear" w:color="auto" w:fill="CFF0FC"/>
          </w:tcPr>
          <w:p>
            <w:pPr>
              <w:spacing w:after="0"/>
              <w:rPr>
                <w:sz w:val="19"/>
                <w:szCs w:val="19"/>
                <w:color w:val="auto"/>
              </w:rPr>
            </w:pPr>
          </w:p>
        </w:tc>
        <w:tc>
          <w:tcPr>
            <w:tcW w:w="20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gridSpan w:val="2"/>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220" w:type="dxa"/>
            <w:vAlign w:val="bottom"/>
            <w:tcBorders>
              <w:bottom w:val="single" w:sz="8" w:color="auto"/>
            </w:tcBorders>
            <w:gridSpan w:val="2"/>
            <w:vMerge w:val="continue"/>
            <w:shd w:val="clear" w:color="auto" w:fill="CFF0FC"/>
          </w:tcPr>
          <w:p>
            <w:pPr>
              <w:spacing w:after="0"/>
              <w:rPr>
                <w:sz w:val="19"/>
                <w:szCs w:val="19"/>
                <w:color w:val="auto"/>
              </w:rPr>
            </w:pPr>
          </w:p>
        </w:tc>
        <w:tc>
          <w:tcPr>
            <w:tcW w:w="260" w:type="dxa"/>
            <w:vAlign w:val="bottom"/>
            <w:tcBorders>
              <w:bottom w:val="single" w:sz="8" w:color="CFF0FC"/>
              <w:right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3"/>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8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Diluted—weighted average common shares outstanding</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80" w:type="dxa"/>
            <w:vAlign w:val="bottom"/>
            <w:gridSpan w:val="3"/>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Basic</w:t>
            </w:r>
          </w:p>
        </w:tc>
        <w:tc>
          <w:tcPr>
            <w:tcW w:w="80" w:type="dxa"/>
            <w:vAlign w:val="bottom"/>
            <w:shd w:val="clear" w:color="auto" w:fill="CFF0FC"/>
          </w:tcPr>
          <w:p>
            <w:pPr>
              <w:spacing w:after="0"/>
              <w:rPr>
                <w:sz w:val="20"/>
                <w:szCs w:val="20"/>
                <w:color w:val="auto"/>
              </w:rPr>
            </w:pPr>
          </w:p>
        </w:tc>
        <w:tc>
          <w:tcPr>
            <w:tcW w:w="20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42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260" w:type="dxa"/>
            <w:vAlign w:val="bottom"/>
            <w:tcBorders>
              <w:right w:val="single" w:sz="8" w:color="CFF0FC"/>
            </w:tcBorders>
            <w:shd w:val="clear" w:color="auto" w:fill="CFF0FC"/>
          </w:tcPr>
          <w:p>
            <w:pPr>
              <w:spacing w:after="0"/>
              <w:rPr>
                <w:sz w:val="20"/>
                <w:szCs w:val="20"/>
                <w:color w:val="auto"/>
              </w:rPr>
            </w:pPr>
          </w:p>
        </w:tc>
        <w:tc>
          <w:tcPr>
            <w:tcW w:w="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0.62</w:t>
            </w:r>
          </w:p>
        </w:tc>
        <w:tc>
          <w:tcPr>
            <w:tcW w:w="10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0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80" w:type="dxa"/>
            <w:vAlign w:val="bottom"/>
          </w:tcPr>
          <w:p>
            <w:pPr>
              <w:ind w:left="6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0.25</w:t>
            </w:r>
          </w:p>
        </w:tc>
        <w:tc>
          <w:tcPr>
            <w:tcW w:w="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260" w:type="dxa"/>
            <w:vAlign w:val="bottom"/>
          </w:tcPr>
          <w:p>
            <w:pPr>
              <w:spacing w:after="0"/>
              <w:rPr>
                <w:sz w:val="17"/>
                <w:szCs w:val="17"/>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auto"/>
              </w:rPr>
              <w:t>0.61</w:t>
            </w:r>
          </w:p>
        </w:tc>
        <w:tc>
          <w:tcPr>
            <w:tcW w:w="100" w:type="dxa"/>
            <w:vAlign w:val="bottom"/>
          </w:tcPr>
          <w:p>
            <w:pPr>
              <w:spacing w:after="0"/>
              <w:rPr>
                <w:sz w:val="17"/>
                <w:szCs w:val="17"/>
                <w:color w:val="auto"/>
              </w:rPr>
            </w:pPr>
          </w:p>
        </w:tc>
        <w:tc>
          <w:tcPr>
            <w:tcW w:w="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0.59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spacing w:after="0"/>
              <w:rPr>
                <w:sz w:val="17"/>
                <w:szCs w:val="17"/>
                <w:color w:val="auto"/>
              </w:rPr>
            </w:pPr>
          </w:p>
        </w:tc>
        <w:tc>
          <w:tcPr>
            <w:tcW w:w="340" w:type="dxa"/>
            <w:vAlign w:val="bottom"/>
            <w:gridSpan w:val="2"/>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20" w:type="dxa"/>
            <w:vAlign w:val="bottom"/>
            <w:gridSpan w:val="2"/>
            <w:shd w:val="clear" w:color="auto" w:fill="CFF0FC"/>
          </w:tcPr>
          <w:p>
            <w:pPr>
              <w:spacing w:after="0"/>
              <w:rPr>
                <w:sz w:val="17"/>
                <w:szCs w:val="17"/>
                <w:color w:val="auto"/>
              </w:rPr>
            </w:pPr>
          </w:p>
        </w:tc>
        <w:tc>
          <w:tcPr>
            <w:tcW w:w="26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80" w:type="dxa"/>
            <w:vAlign w:val="bottom"/>
            <w:gridSpan w:val="3"/>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color w:val="auto"/>
              </w:rPr>
              <w:t>Cash dividends per share</w:t>
            </w:r>
          </w:p>
        </w:tc>
        <w:tc>
          <w:tcPr>
            <w:tcW w:w="8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jc w:val="right"/>
              <w:ind w:right="92"/>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260" w:type="dxa"/>
            <w:vAlign w:val="bottom"/>
          </w:tcPr>
          <w:p>
            <w:pPr>
              <w:spacing w:after="0"/>
              <w:rPr>
                <w:sz w:val="18"/>
                <w:szCs w:val="18"/>
                <w:color w:val="auto"/>
              </w:rPr>
            </w:pPr>
          </w:p>
        </w:tc>
        <w:tc>
          <w:tcPr>
            <w:tcW w:w="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-4070985</wp:posOffset>
            </wp:positionV>
            <wp:extent cx="768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-4070985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-4070985</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-4070985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-3068320</wp:posOffset>
            </wp:positionV>
            <wp:extent cx="7683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-3051175</wp:posOffset>
            </wp:positionV>
            <wp:extent cx="768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-3068320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-3051175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-3068320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-3051175</wp:posOffset>
            </wp:positionV>
            <wp:extent cx="6858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-3068320</wp:posOffset>
            </wp:positionV>
            <wp:extent cx="6858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-2759710</wp:posOffset>
            </wp:positionV>
            <wp:extent cx="7683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3382645</wp:posOffset>
            </wp:positionH>
            <wp:positionV relativeFrom="paragraph">
              <wp:posOffset>-2742565</wp:posOffset>
            </wp:positionV>
            <wp:extent cx="768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-2759710</wp:posOffset>
            </wp:positionV>
            <wp:extent cx="6858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4179570</wp:posOffset>
            </wp:positionH>
            <wp:positionV relativeFrom="paragraph">
              <wp:posOffset>-2742565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-2759710</wp:posOffset>
            </wp:positionV>
            <wp:extent cx="6858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6297295</wp:posOffset>
            </wp:positionH>
            <wp:positionV relativeFrom="paragraph">
              <wp:posOffset>-2742565</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-2759710</wp:posOffset>
            </wp:positionV>
            <wp:extent cx="6858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-1071245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-1071245</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-1071245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-1071245</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-488315</wp:posOffset>
            </wp:positionV>
            <wp:extent cx="6858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-471170</wp:posOffset>
            </wp:positionV>
            <wp:extent cx="6858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-488315</wp:posOffset>
            </wp:positionV>
            <wp:extent cx="6858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-471170</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-488315</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6074410</wp:posOffset>
            </wp:positionH>
            <wp:positionV relativeFrom="paragraph">
              <wp:posOffset>-471170</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-488315</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-471170</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Companies with unvested participating securities are required to utilize a two-class method for the computation of net income attributable to Company per share. The two-class method requires a portion of net income attributable to the Company to be allocated to participating securities, which are unvested awards of share-based payments with non-forfeitable rights to receive dividends or dividend equivalents if declared. Net income attributable to the Company allocated to these participating securities was immaterial for each of the three and nine months ended September 30, 2026 and 2025, respectively.</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had stock options and restricted shares outstanding that were anti-dilutive totaling 6 million and 8 million shares for the three and nine months ended September 30, 2026, compared to 19 million and 16 million shares for the three and nine months ended September 30, 2025.</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13. Cash Dividends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dividends were $32 million and $129 million for the three and nine months ended September 30, 2026, compared to $28 million and $163 million for the three and nine months ended September 30, 2025. The declaration and payment of future dividends is at the discretion of the Company’s Board of Directors and will be dependent upon the Company’s results of operations, financial condition, capital requirements and other factors deemed relevant by the Company’s Board of Directors.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Share Repurchase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25, 2024, the Company established a share repurchase program for up to $1 billion of the currently outstanding shares of the Company’s common stock over a period of 36 months. Under the share repurchase program, the Company may repurchase shares from time to time through open market purchases, in privately negotiated transactions or by other means, including through the use of trading plans intended to qualify under Rule 10b5-1 under the Securities Exchange Act of 1934 (the “Exchange Act”), as amended, in accordance with applicable securities laws and other restrictions, including Rule 10b-18. The timing and total amount of any stock repurchases will depend upon business, economic and market conditions, corporate and regulatory requirements, prevailing stock prices and other considerations.</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intends to fund the repurchases using its available U.S. cash balances, which may involve the repatriation of foreign earnings not indefinitely reinvested. However, depending on U.S. cash balances, the Company may choose to borrow against its revolving credit facility or issue new debt to finance the repurchases. As shares are repurchased, they are constructively retired and returned to an unissued state. During the three and nine months ended September 30, 2026, the Company repurchased approximately 0.8 million shares of common stock under the program for an aggregate amount of $15 million, and 7.5 million shares of common stock under the program for an aggregate amount of $145 million, respectively. During the three and nine months ended September 30, 2025, the Company repurchased approximately 6.2 million shares of common stock under the program for an aggregate amount of $80 million, and 17.1 million shares of common stock under the program for an aggregate amount of $230 million, respectively.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From time to time, the Company is involved in various claims, regulatory agency audits, investigations and legal actions involving a variety of matters. As of September 30, 2026, in the ordinary course of business, the Company recorded reserves in an amount believed to be sufficient, given the estimated range of potential outcomes, for contingent liabilities believed to be probable. These estimated liabilities are based on the Company’s assessment of the nature of these matters, their progress toward resolution, the advice of legal counsel and outside experts as well as management’s experience. The litigation process and the outcome of regulatory oversight is inherently uncertain, and our best judgment concerning the probable outcome of litigation or regulatory enforcement matters may prove to be incorrect. No assurance can be given as to the outcome of these matters. The total potential loss on these matters cannot be determined; however, in our opinion, any ultimate liability, to the extent not otherwise provided for, should not materially affect our financial position, cash flows or results of operations.</w:t>
      </w:r>
    </w:p>
    <w:p>
      <w:pPr>
        <w:spacing w:after="0" w:line="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Developments in global trade policy, including tariffs, geopolitical tensions, sanctions, and regulatory changes, have impacted and may continue to influence our operations. In February 2026, the U.S. Supreme Court determined that certain tariffs were unlawful, effectively nullifying the legal basis for some incremental tariffs implemented since February 2025 and sending related cases back to the Court of International Trade. In response, the U.S. administration introduced new tariffs under different authorities, increasing uncertainty around the scope, duration, and potential changes to current and future tariffs, as well as the risk of retaliatory measures. We have submitted Consolidated Administration and Processing of Entries (“CAPE”) Declarations for International Emergency Economic Powers Act (“IEEPA”) duty refunds and are closely monitoring developments to better understand the government’s next steps. For the three and nine months ended September 30, 2026, we recorded a benefit of approximately $5 million and $45 million, within “Cost of revenue” in the Consolidated Statements of Income, of which we have received $39 million through September 30, 2026. The remaining outstanding balance is reported within “Receivables, net” in the Consolidated Balance Sheets.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17" w:name="page18"/>
    <w:bookmarkEnd w:id="17"/>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currently pursuing litigation against several companies involving royalties due under licenses for technology related to drill bits. This technology resulted in a portfolio of patents related to leaching technology, a revolutionary technology owned by the Company that improves the performance of drill bits and other products utilizing certain synthetic diamond parts. The Company previously sued several drill bit manufacturers for patent infringement and those lawsuits were resolved by a series of licensing agreements with various drill bit manufacturers (the “License Agreements”). To settle and end litigation or to avoid litigation, the licensees were provided access to the portfolio of leaching patents owned by the Company in exchange for a royalty payment, as defined in each License Agreement. The companies agreed to pay the royalties for the right to use the portfolio of patents, whether they used some, all or none of the specific patented claims in any particular patent. The license agreements provide that they terminate on the date of the last to expire of the patents in the licensed portfolio. Having obtained the benefit of these licenses for more than a decade, all of the drill bit manufacturer licensees unilaterally stopped making royalty payments even though all of the patents in the portfolio have not expired. These companies have asserted, among other reasons, that they are entitled to stop making these payments because they claim to not manufacture products covered by the unexpired patents. Some of these companies stopped making payments upon expiration of what are allegedly the patents in the portfolio that they elected to use. Others paid for some period of time after that date but have since stopped making payments. The Company has sued asserting that failure to pay the royalties is a breach of the License Agreements. The Company is in litigation with most of the licensees seeking a judicial determination that it is entitled to be paid royalties pursuant to the terms of the License Agreements. The licensees have responded with a number of alleged defenses and requests for declaratory judgment all focused on avoiding the payments called for under the License Agreements. The parties’ legal filings to date can be found in the following cases: Grant Prideco, Inc., et al. v. Schlumberger Technology Corp., et al., No. 4:23-cv-00730; Halliburton Energy Services, Inc. v. Grant Prideco, Inc., et al., No. 4:23-cv-01789; and Grant Prideco, Inc., et al. v. Baker Hughes Oilfield Operations Inc., et al., No. 4:25-cv-03459, all in the United States District Court for the Southern District of Texas. We have also subsequently initiated litigation against Taurex Drill Bits. The legal filings to date for that proceeding can be found in the case Grant Prideco, Inc., et al. v. Taurex Drill Bits, L.L.C., No. 25-BC11B-0065, in the Eleventh Business Court Division for Harris County, Texas. On September 29, 2025, and October 7, 2025, in the lawsuits against Halliburton, Ulterra and Varel, the district court issued rulings, the effect of which is that NOV cannot collect royalties under the License Agreements after the date each licensee stopped making royalty payments. NOV believes the court’s ruling is incorrect and is appealing the court’s decision, which can be found in the case: Halliburton Energy Services, Inc. v. Grant Prideco, Inc. et al., Nos. 26-1256, 26-1266, In the United States Court of Appeals for the Federal Circuit. The Company continues to strongly believe that the royalties for which it has sued are due and owing pursuant to the terms of the License Agreements. Of course, there is inherent risk with the related litigation and the Company makes no assurances as to the outcome of such litigation. As of September 30, 2026, royalty receivables of $144 million, net of related reserves of $78 million and the remaining timing related discount of $36 million, are included in “Other assets” on the Consolidated Balance Sheets. While we continue to believe it is probable the Company will collect all or substantially all of the consideration to which it is entitled pursuant to the terms of the licensing agreements, the Company will also continue to evaluate the collectability of the receivables in accordance with the allowance for credit losses policy described in Note 6.</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8" w:name="page19"/>
    <w:bookmarkEnd w:id="18"/>
    <w:p>
      <w:pPr>
        <w:ind w:right="380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Introduction</w:t>
      </w:r>
    </w:p>
    <w:p>
      <w:pPr>
        <w:spacing w:after="0" w:line="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NOV is a leading independent equipment and technology provider to the global energy industry. NOV and its predecessor companies have spent over 160 years helping transform oil and gas development and improving its cost-effectiveness, efficiency, safety, and environmental impact.</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NOV’s extensive proprietary technology portfolio supports the industry’s drilling, completion, and production needs. With unmatched cross-segment capabilities, scope, and scale, NOV continues to develop and introduce technologies that further enhance the economics and efficiencies of energy production, with a focus on digital, automation, and robotics solutions.</w:t>
      </w:r>
    </w:p>
    <w:p>
      <w:pPr>
        <w:spacing w:after="0" w:line="6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Lower-cost, reliable sources of energy significantly contribute to raising the global standard of living by powering economic development, enabling better infrastructure and facilitating the production of goods and services that improve quality of life. Over the past few decades, the Company has pioneered and refined key technologies to improve the economic viability of frontier resources, including unconventional and deepwater oil and gas. More recently, by applying its deep expertise and technology, NOV has developed solutions to improve the economics of alternative energy sources.</w:t>
      </w:r>
    </w:p>
    <w:p>
      <w:pPr>
        <w:spacing w:after="0" w:line="7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NOV serves major-diversified, national, and independent service companies, contractors, and energy producers in 56 countries. NOV operates under two segments, Energy Equipment and Energy Products and Services.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Results of operations are presented in accordance with GAAP. Certain reclassifications have been made to prior period financial information in order to conform with current period presentation. The Company discloses Adjusted operating profit (defined as operating profit excluding gains and losses on fixed assets, and, when applicable, pre-tax Other Items (as defined below under “Executive Summary”)) and Adjusted EBITDA (defined as operating profit excluding depreciation, amortization, gains and losses on fixed assets, and, when applicable, pre-tax Other Items) in its periodic earnings press releases and other public disclosures to provide investors additional information about the results of ongoing operations. See “Non-GAAP Financial Measures and Reconciliations in Results of Operations” for an explanation of our use of non-GAAP financial measures and reconciliations to their corresponding measures calculated in accordance with GAAP.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Company’s Energy Equipment segment manufactures and supports the capital equipment and integrated systems needed for oil and gas exploration and production, both onshore and offshore, as well as for other marine-based, industrial and renewable energy markets.</w:t>
      </w:r>
    </w:p>
    <w:p>
      <w:pPr>
        <w:spacing w:after="0" w:line="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segment designs, manufactures, and integrates technologies for drilling and producing oil and gas wells. This includes equipment and technologies needed for drilling, including land rigs, offshore drilling equipment packages, drilling rig components, managed pressure drilling, and software control systems that mechanize and automate the drilling process and rig functionality; hydraulic fracture stimulation; well intervention, including coiled tubing units, coiled tubing, and wireline units and tools; cementing products; onshore production, including fluid and gas processing, flow control and pumping solutions; offshore production, including integrated production systems and subsea production technologies; and aftermarket support of these technologies, providing spare parts, service, and repair.</w:t>
      </w:r>
    </w:p>
    <w:p>
      <w:pPr>
        <w:spacing w:after="0" w:line="7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Equipment primarily serves contract drillers, oilfield service companies, and oil and gas companies. Demand for the segment’s products primarily depends on capital spending plans by drilling contractors, service companies, and oil and gas companies, and secondarily on the overall level of oilfield drilling, completions, and workover activity which drives demand for equipment, spare parts, service, and repair for the segment’s large installed base of equipment.</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segment also serves marine and offshore markets, where it designs and builds equipment for wind turbine installation and cable lay vessels, and offers heavy lift cranes and jacking systems; industrial markets, where the segment provides pumps and mixers for a wide breadth of industrial end markets; and other renewable energy markets, where it provides solutions that support wind power development, and carbon sequestration by applying its gas processing expertise.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Energy Products and Services segment primarily designs, manufactures, rents, and sells products and equipment used in drilling, intervention, completion, and production activities. Products include drill bits, downhole tools, premium drill pipe, drilling fluids, integral and weld-on connectors for conductor strings and surface casing, completion tools, and artificial lift systems. The segment also designs, manufactures, and delivers high-end composite pipe, tanks, and structures engineered to solve both corrosion and weight challenges in a wide variety of applications, including oil and gas, chemical, industrial, wastewater, fuel handling, marine and offshore, and rare earth mineral extraction.</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product and equipment sales, the segment provides services, software, and digital solutions to improve drilling and completion operational performance. Services include tubular inspection and coating, solids control, waste management. Software and digital solutions offered include drilling and completion optimization and remote monitoring (via downhole and surface instrumentation), wired drill pipe services, software controls and applications, and data management and analytics services at the edge and in the cloud.</w:t>
      </w:r>
    </w:p>
    <w:p>
      <w:pPr>
        <w:spacing w:after="0" w:line="7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Energy Products and Services serves oil and gas companies, drilling contractors, oilfield service companies, oilfield equipment rental companies and developers of geothermal energy. Demand for the segment’s products and services primarily depends on the level of oilfield drilling activity by oil and gas companies, drilling contractors, and oilfield service companies. Demand for the segment’s composite solutions serving applications outside of oil and gas are driven by industrial activity, infrastructure spend, and population growth.</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2025,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impairment of goodwill and other indefinite-lived intangible assets, inventory reserves,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ended September 30, 2026, the Company generated revenues of $2.23 billion, an increase of four percent sequentially and an increase of two percent compared to the third quarter of 2025. Net income increased $48 million, or $0.14 per diluted share, year-over-year to $90 million. Operating profit was $142 million, or 6.4 percent of sales, an increase of 33 percent versus the third quarter of 2025. Adjusted operating profit was $188 million, an increase of 11 percent versus the third quarter of 2025. Adjusted EBITDA increased $23 million year-over-year to $281 million, or 12.6 percent of sales. Third quarter 2026 Adjusted operating profit and Adjusted EBITDA include a benefit of approximately $5 million related to tariff refunds.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Energy Equipment generated revenues of $1.22 billion in the third quarter of 2026, a decrease of two percent from the third quarter of 2025. Operating profit decreased $8 million from the prior year to $122 million, or 10.0 percent of sales, and included $14 million in pre-tax Other Items and a $22 million net loss on write-down of fixed assets. Adjusted EBITDA increased $7 million from the prior year to $187 million, or 15.3 percent of sales. The decrease in revenue was due to the completion of certain offshore production related projects that were not fully offset by increased demand for the segment’s other products and services. Adjusted EBITDA margins expanded, driven by a favorable project mix and improved margins in backlog.</w:t>
      </w:r>
    </w:p>
    <w:p>
      <w:pPr>
        <w:spacing w:after="0" w:line="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New orders booked during the quarter totaled $577 million representing a book-to-bill of 91 percent when compared to $632 million of orders shipped from backlog. As of September 30, 2026, backlog for capital equipment orders for Energy Equipment totaled $3.98 billion.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Energy Products and Services generated revenues of $1.06 billion in the third quarter of 2026, an increase of nine percent from the third quarter of 2025. Operating profit increased $50 million from the prior year to $88 million, or 8.3 percent of sales, and included $7 million in pre-tax Other Items and a $4 million gain on sales of fixed assets. Adjusted EBITDA increased $18 million from the prior year to $153 million, or 14.5 percent of sales. Revenue growth was led by increasing manufacturing throughput against the segment’s growing backlog of drill pipe and composite equipment. Continued improvement in cost structure and operational efficiencies resulted in higher margins.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Oil &amp; Gas Equipment and Services Market and Outlook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Macroeconomic and geopolitical uncertainty remains elevated due to the conflict in the Middle East. Widespread damage to energy infrastructure and the closure of the Strait of Hormuz have materially tightened oil and gas fundamentals, causing volatility in global commodity markets and renewing focus on the need for energy security. Management believes reduced production capacity resulting from years of underinvestment in the oil and gas industry along with the growing need to diversify supply sources will spur renewed investment in upstream capacity and regional infrastructure needed to support more resilient supply. In this environment, management expects increased demand for the Company’s equipment and technology.</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NOV remains focused on the development and commercialization of innovative products and services that lower the marginal cost and environmental footprint of energy production. The Company also remains focused on improving operational efficiency, simplifying processes, and allocating capital to opportunities where it believes it has competitive advantages, technology differentiation, and the ability to generate attractive returns. Management believes this strategy will further strengthen the Company’s competitive position across market cycles and create value for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Environment Overview</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Company’s results are dependent on, among other things, the level of worldwide oil and gas drilling, well remediation activity, the prices of crude oil and natural gas, capital spending by exploration and production companies and drilling contractors, worldwide oil and gas inventory levels and, to a lesser degree, the level of investment in wind and geothermal energy projects. Key industry indicators for the third quarter of 2026 and 2025, and the second quarter of 2026 include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8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17"/>
        </w:trPr>
        <w:tc>
          <w:tcPr>
            <w:tcW w:w="38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3Q26*</w:t>
            </w: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vMerge w:val="restart"/>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3Q25*</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2Q26*</w:t>
            </w:r>
          </w:p>
        </w:tc>
        <w:tc>
          <w:tcPr>
            <w:tcW w:w="1580" w:type="dxa"/>
            <w:vAlign w:val="bottom"/>
            <w:tcBorders>
              <w:top w:val="single" w:sz="8" w:color="auto"/>
            </w:tcBorders>
            <w:gridSpan w:val="2"/>
          </w:tcPr>
          <w:p>
            <w:pPr>
              <w:jc w:val="right"/>
              <w:ind w:right="740"/>
              <w:spacing w:after="0" w:line="118" w:lineRule="exact"/>
              <w:rPr>
                <w:sz w:val="20"/>
                <w:szCs w:val="20"/>
                <w:color w:val="auto"/>
              </w:rPr>
            </w:pPr>
            <w:r>
              <w:rPr>
                <w:rFonts w:ascii="Times New Roman" w:cs="Times New Roman" w:eastAsia="Times New Roman" w:hAnsi="Times New Roman"/>
                <w:sz w:val="13"/>
                <w:szCs w:val="13"/>
                <w:b w:val="1"/>
                <w:bCs w:val="1"/>
                <w:color w:val="auto"/>
              </w:rPr>
              <w:t>3Q26 v</w:t>
            </w:r>
          </w:p>
        </w:tc>
        <w:tc>
          <w:tcPr>
            <w:tcW w:w="1280" w:type="dxa"/>
            <w:vAlign w:val="bottom"/>
            <w:tcBorders>
              <w:top w:val="single" w:sz="8" w:color="auto"/>
            </w:tcBorders>
          </w:tcPr>
          <w:p>
            <w:pPr>
              <w:jc w:val="right"/>
              <w:ind w:right="355"/>
              <w:spacing w:after="0" w:line="118" w:lineRule="exact"/>
              <w:rPr>
                <w:sz w:val="20"/>
                <w:szCs w:val="20"/>
                <w:color w:val="auto"/>
              </w:rPr>
            </w:pPr>
            <w:r>
              <w:rPr>
                <w:rFonts w:ascii="Times New Roman" w:cs="Times New Roman" w:eastAsia="Times New Roman" w:hAnsi="Times New Roman"/>
                <w:sz w:val="13"/>
                <w:szCs w:val="13"/>
                <w:b w:val="1"/>
                <w:bCs w:val="1"/>
                <w:color w:val="auto"/>
              </w:rPr>
              <w:t>3Q26 v</w:t>
            </w:r>
          </w:p>
        </w:tc>
        <w:tc>
          <w:tcPr>
            <w:tcW w:w="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384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58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3Q25</w:t>
            </w:r>
          </w:p>
        </w:tc>
        <w:tc>
          <w:tcPr>
            <w:tcW w:w="150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2Q26</w:t>
            </w:r>
          </w:p>
        </w:tc>
        <w:tc>
          <w:tcPr>
            <w:tcW w:w="0" w:type="dxa"/>
            <w:vAlign w:val="bottom"/>
          </w:tcPr>
          <w:p>
            <w:pPr>
              <w:spacing w:after="0"/>
              <w:rPr>
                <w:sz w:val="1"/>
                <w:szCs w:val="1"/>
                <w:color w:val="auto"/>
              </w:rPr>
            </w:pPr>
          </w:p>
        </w:tc>
      </w:tr>
      <w:tr>
        <w:trPr>
          <w:trHeight w:val="21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Active Drilling Rigs:</w:t>
            </w:r>
          </w:p>
        </w:tc>
        <w:tc>
          <w:tcPr>
            <w:tcW w:w="84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Canada</w:t>
            </w:r>
          </w:p>
        </w:tc>
        <w:tc>
          <w:tcPr>
            <w:tcW w:w="840" w:type="dxa"/>
            <w:vAlign w:val="bottom"/>
            <w:shd w:val="clear" w:color="auto" w:fill="CFF0FC"/>
          </w:tcPr>
          <w:p>
            <w:pPr>
              <w:spacing w:after="0"/>
              <w:rPr>
                <w:sz w:val="18"/>
                <w:szCs w:val="18"/>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16"/>
        </w:trPr>
        <w:tc>
          <w:tcPr>
            <w:tcW w:w="38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International</w:t>
            </w:r>
          </w:p>
        </w:tc>
        <w:tc>
          <w:tcPr>
            <w:tcW w:w="8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1,107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22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5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Worldwide</w:t>
            </w:r>
          </w:p>
        </w:tc>
        <w:tc>
          <w:tcPr>
            <w:tcW w:w="8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1,903</w:t>
            </w: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20" w:type="dxa"/>
            <w:vAlign w:val="bottom"/>
            <w:shd w:val="clear" w:color="auto" w:fill="CFF0FC"/>
          </w:tcPr>
          <w:p>
            <w:pPr>
              <w:spacing w:after="0"/>
              <w:rPr>
                <w:sz w:val="21"/>
                <w:szCs w:val="21"/>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5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196"/>
        </w:trPr>
        <w:tc>
          <w:tcPr>
            <w:tcW w:w="3840" w:type="dxa"/>
            <w:vAlign w:val="bottom"/>
            <w:tcBorders>
              <w:top w:val="single" w:sz="8" w:color="CFF0FC"/>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24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340" w:type="dxa"/>
            <w:vAlign w:val="bottom"/>
            <w:tcBorders>
              <w:top w:val="single" w:sz="8" w:color="CFF0FC"/>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West Texas Intermediate Crude Prices (per barrel)</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87.22</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65.74</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95.75</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32.7%</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Natural Gas Prices ($/mmbtu)</w:t>
            </w:r>
          </w:p>
        </w:tc>
        <w:tc>
          <w:tcPr>
            <w:tcW w:w="840" w:type="dxa"/>
            <w:vAlign w:val="bottom"/>
            <w:shd w:val="clear" w:color="auto" w:fill="CFF0FC"/>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4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220" w:type="dxa"/>
            <w:vAlign w:val="bottom"/>
            <w:shd w:val="clear" w:color="auto" w:fill="CFF0FC"/>
          </w:tcPr>
          <w:p>
            <w:pPr>
              <w:spacing w:after="0"/>
              <w:rPr>
                <w:sz w:val="18"/>
                <w:szCs w:val="18"/>
                <w:color w:val="auto"/>
              </w:rPr>
            </w:pPr>
          </w:p>
        </w:tc>
        <w:tc>
          <w:tcPr>
            <w:tcW w:w="15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(5.0)%</w:t>
            </w:r>
          </w:p>
        </w:tc>
        <w:tc>
          <w:tcPr>
            <w:tcW w:w="1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24"/>
        </w:trPr>
        <w:tc>
          <w:tcPr>
            <w:tcW w:w="4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Averages for the quarters indicated. See sources below.</w:t>
            </w: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712"/>
              <w:spacing w:after="0"/>
              <w:rPr>
                <w:sz w:val="20"/>
                <w:szCs w:val="20"/>
                <w:color w:val="auto"/>
              </w:rPr>
            </w:pPr>
            <w:r>
              <w:rPr>
                <w:rFonts w:ascii="Times New Roman" w:cs="Times New Roman" w:eastAsia="Times New Roman" w:hAnsi="Times New Roman"/>
                <w:sz w:val="18"/>
                <w:szCs w:val="18"/>
                <w:color w:val="auto"/>
              </w:rPr>
              <w:t>21</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8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-1550670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-1533525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-1550670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-1533525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-1550670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-1533525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-1550670</wp:posOffset>
            </wp:positionV>
            <wp:extent cx="1460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-1533525</wp:posOffset>
            </wp:positionV>
            <wp:extent cx="14605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-1550670</wp:posOffset>
            </wp:positionV>
            <wp:extent cx="14541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-1533525</wp:posOffset>
            </wp:positionV>
            <wp:extent cx="14541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1" w:name="page22"/>
    <w:bookmarkEnd w:id="21"/>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details the U.S., Canadian, and international rig activity and West Texas Intermediate Crude Oil prices for the past nine quarters ended September 30, 2026,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114300</wp:posOffset>
            </wp:positionV>
            <wp:extent cx="6334760" cy="43116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334760" cy="431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Source: Rig count: Baker Hughes, Inc. (www.bakerhughes.com); West Texas Intermediate Crude Oil and Natural Gas Prices: US Department of Energy, Energy Information Administration (www.eia.doe.gov).</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worldwide quarterly average rig count increased 8 percent (from 1,760 to 1,903) in the third quarter of 2026 when compared to the second quarter of 2026. The average per barrel price of West Texas Intermediate Crude Oil decreased 9 percent (from $95.75 per barrel to $87.22 per barrel) and natural gas prices decreased 2 percent (from $2.95 per mmbtu to $2.88 per mmbtu) in the third quarter of 2026 compared to the second quarter of 2026.</w:t>
      </w:r>
    </w:p>
    <w:p>
      <w:pPr>
        <w:spacing w:after="0" w:line="6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23, 2026, there were 823 rigs actively drilling in North America, comprised of U.S. and Canada, which increased 3 percent from the third quarter of 2026 average of 796 rigs. The price for West Texas Intermediate Crude Oil was $103.27 per barrel at October 23, 2026, an increase of 18 percent from the third quarter of 2026 average. The price for natural gas was $2.64 per mmbtu at October 23, 2026, a decrease of 8 percent from the third quarter of 2026 average.</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operating segment are as follows (in millions):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80" w:type="dxa"/>
            <w:vAlign w:val="bottom"/>
            <w:tcBorders>
              <w:bottom w:val="single" w:sz="8" w:color="auto"/>
            </w:tcBorders>
            <w:gridSpan w:val="5"/>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5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060" w:type="dxa"/>
            <w:vAlign w:val="bottom"/>
            <w:tcBorders>
              <w:bottom w:val="single" w:sz="8" w:color="auto"/>
            </w:tcBorders>
            <w:gridSpan w:val="5"/>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5"/>
                <w:szCs w:val="15"/>
                <w:color w:val="auto"/>
              </w:rPr>
            </w:pPr>
          </w:p>
        </w:tc>
      </w:tr>
      <w:tr>
        <w:trPr>
          <w:trHeight w:val="196"/>
        </w:trPr>
        <w:tc>
          <w:tcPr>
            <w:tcW w:w="3160" w:type="dxa"/>
            <w:vAlign w:val="bottom"/>
          </w:tcPr>
          <w:p>
            <w:pPr>
              <w:spacing w:after="0"/>
              <w:rPr>
                <w:sz w:val="17"/>
                <w:szCs w:val="17"/>
                <w:color w:val="auto"/>
              </w:rPr>
            </w:pPr>
          </w:p>
        </w:tc>
        <w:tc>
          <w:tcPr>
            <w:tcW w:w="18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7"/>
                <w:szCs w:val="17"/>
                <w:color w:val="auto"/>
              </w:rPr>
            </w:pPr>
          </w:p>
        </w:tc>
      </w:tr>
      <w:tr>
        <w:trPr>
          <w:trHeight w:val="20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5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Energy Equipment</w:t>
            </w:r>
          </w:p>
        </w:tc>
        <w:tc>
          <w:tcPr>
            <w:tcW w:w="18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0" w:type="dxa"/>
            <w:vAlign w:val="bottom"/>
          </w:tcPr>
          <w:p>
            <w:pPr>
              <w:spacing w:after="0"/>
              <w:rPr>
                <w:sz w:val="18"/>
                <w:szCs w:val="18"/>
                <w:color w:val="auto"/>
              </w:rPr>
            </w:pPr>
          </w:p>
        </w:tc>
        <w:tc>
          <w:tcPr>
            <w:tcW w:w="12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2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3,628</w:t>
            </w:r>
          </w:p>
        </w:tc>
        <w:tc>
          <w:tcPr>
            <w:tcW w:w="2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3,600</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1,057</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Eliminations</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2,226</w:t>
            </w:r>
          </w:p>
        </w:tc>
        <w:tc>
          <w:tcPr>
            <w:tcW w:w="2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6,412</w:t>
            </w:r>
          </w:p>
        </w:tc>
        <w:tc>
          <w:tcPr>
            <w:tcW w:w="200" w:type="dxa"/>
            <w:vAlign w:val="bottom"/>
            <w:shd w:val="clear" w:color="auto" w:fill="CFF0FC"/>
          </w:tcPr>
          <w:p>
            <w:pPr>
              <w:spacing w:after="0"/>
              <w:rPr>
                <w:sz w:val="21"/>
                <w:szCs w:val="21"/>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6,467</w:t>
            </w:r>
          </w:p>
        </w:tc>
        <w:tc>
          <w:tcPr>
            <w:tcW w:w="100" w:type="dxa"/>
            <w:vAlign w:val="bottom"/>
            <w:shd w:val="clear" w:color="auto" w:fill="CFF0FC"/>
          </w:tcPr>
          <w:p>
            <w:pPr>
              <w:spacing w:after="0"/>
              <w:rPr>
                <w:sz w:val="21"/>
                <w:szCs w:val="21"/>
                <w:color w:val="auto"/>
              </w:rPr>
            </w:pPr>
          </w:p>
        </w:tc>
      </w:tr>
      <w:tr>
        <w:trPr>
          <w:trHeight w:val="197"/>
        </w:trPr>
        <w:tc>
          <w:tcPr>
            <w:tcW w:w="316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52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20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profit:</w:t>
            </w:r>
          </w:p>
        </w:tc>
        <w:tc>
          <w:tcPr>
            <w:tcW w:w="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Energy Equipment</w:t>
            </w:r>
          </w:p>
        </w:tc>
        <w:tc>
          <w:tcPr>
            <w:tcW w:w="1800" w:type="dxa"/>
            <w:vAlign w:val="bottom"/>
            <w:gridSpan w:val="2"/>
          </w:tcPr>
          <w:p>
            <w:pPr>
              <w:jc w:val="right"/>
              <w:ind w:right="8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200" w:type="dxa"/>
            <w:vAlign w:val="bottom"/>
          </w:tcPr>
          <w:p>
            <w:pPr>
              <w:spacing w:after="0"/>
              <w:rPr>
                <w:sz w:val="18"/>
                <w:szCs w:val="18"/>
                <w:color w:val="auto"/>
              </w:rPr>
            </w:pPr>
          </w:p>
        </w:tc>
        <w:tc>
          <w:tcPr>
            <w:tcW w:w="1200" w:type="dxa"/>
            <w:vAlign w:val="bottom"/>
            <w:gridSpan w:val="2"/>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0" w:type="dxa"/>
            <w:vAlign w:val="bottom"/>
          </w:tcPr>
          <w:p>
            <w:pPr>
              <w:spacing w:after="0"/>
              <w:rPr>
                <w:sz w:val="18"/>
                <w:szCs w:val="18"/>
                <w:color w:val="auto"/>
              </w:rPr>
            </w:pP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w:t>
            </w:r>
          </w:p>
        </w:tc>
        <w:tc>
          <w:tcPr>
            <w:tcW w:w="100" w:type="dxa"/>
            <w:vAlign w:val="bottom"/>
          </w:tcPr>
          <w:p>
            <w:pPr>
              <w:spacing w:after="0"/>
              <w:rPr>
                <w:sz w:val="18"/>
                <w:szCs w:val="18"/>
                <w:color w:val="auto"/>
              </w:rPr>
            </w:pPr>
          </w:p>
        </w:tc>
      </w:tr>
      <w:tr>
        <w:trPr>
          <w:trHeight w:val="216"/>
        </w:trPr>
        <w:tc>
          <w:tcPr>
            <w:tcW w:w="316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FF0FC"/>
          </w:tcPr>
          <w:p>
            <w:pPr>
              <w:spacing w:after="0"/>
              <w:rPr>
                <w:sz w:val="18"/>
                <w:szCs w:val="18"/>
                <w:color w:val="auto"/>
              </w:rPr>
            </w:pPr>
          </w:p>
        </w:tc>
      </w:tr>
      <w:tr>
        <w:trPr>
          <w:trHeight w:val="216"/>
        </w:trPr>
        <w:tc>
          <w:tcPr>
            <w:tcW w:w="3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w:t>
            </w:r>
          </w:p>
        </w:tc>
      </w:tr>
      <w:tr>
        <w:trPr>
          <w:trHeight w:val="20"/>
        </w:trPr>
        <w:tc>
          <w:tcPr>
            <w:tcW w:w="3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3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operating profit</w:t>
            </w:r>
          </w:p>
        </w:tc>
        <w:tc>
          <w:tcPr>
            <w:tcW w:w="7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8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00" w:type="dxa"/>
            <w:vAlign w:val="bottom"/>
            <w:shd w:val="clear" w:color="auto" w:fill="CFF0FC"/>
          </w:tcPr>
          <w:p>
            <w:pPr>
              <w:spacing w:after="0"/>
              <w:rPr>
                <w:sz w:val="19"/>
                <w:szCs w:val="19"/>
                <w:color w:val="auto"/>
              </w:rPr>
            </w:pP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FF0FC"/>
          </w:tcPr>
          <w:p>
            <w:pPr>
              <w:spacing w:after="0"/>
              <w:rPr>
                <w:sz w:val="19"/>
                <w:szCs w:val="19"/>
                <w:color w:val="auto"/>
              </w:rPr>
            </w:pP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-882650</wp:posOffset>
            </wp:positionV>
            <wp:extent cx="76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-865505</wp:posOffset>
            </wp:positionV>
            <wp:extent cx="76835"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-882650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-865505</wp:posOffset>
            </wp:positionV>
            <wp:extent cx="6858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-882650</wp:posOffset>
            </wp:positionV>
            <wp:extent cx="6858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-865505</wp:posOffset>
            </wp:positionV>
            <wp:extent cx="6858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-882650</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-25400</wp:posOffset>
            </wp:positionV>
            <wp:extent cx="7683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3485515</wp:posOffset>
            </wp:positionH>
            <wp:positionV relativeFrom="paragraph">
              <wp:posOffset>-8255</wp:posOffset>
            </wp:positionV>
            <wp:extent cx="76835"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-25400</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-8255</wp:posOffset>
            </wp:positionV>
            <wp:extent cx="6858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-25400</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-8255</wp:posOffset>
            </wp:positionV>
            <wp:extent cx="6858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Three and nine months ended September 30, 2026 and 2025</w:t>
      </w:r>
      <w:r>
        <w:rPr>
          <w:rFonts w:ascii="Times New Roman" w:cs="Times New Roman" w:eastAsia="Times New Roman" w:hAnsi="Times New Roman"/>
          <w:sz w:val="18"/>
          <w:szCs w:val="18"/>
          <w:color w:val="auto"/>
        </w:rPr>
        <w:t>. Revenue from Energy Equipment was $1,220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2026, compared to $1,247 million for the three months ended September 30, 2025, a decrease of $27 million or 2 percent. The decrease was primarily driven by a 3 percent decline in capital equipment revenue, largely attributable to the completion of certain offshore production related projects that were not fully offset by increased demand for the segment’s other products and services. For the nine months ended September 30, 2026, revenue was $3,628 million compared to $3,600 million for the nine months ended September 30, 2025, an increase of $28 million or 1 percent. Revenue remained relatively flat when compared to the prior year with higher sales of production-related capital equipment, mostly offset by lower revenue from aftermarket parts and services.</w:t>
      </w:r>
    </w:p>
    <w:p>
      <w:pPr>
        <w:spacing w:after="0" w:line="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profit from Energy Equipment was $122 million for the three months ended September 30, 2026, compared to an operating profit of $130 million for the three months ended September 30, 2025, a decrease of $8 million. The decrease was primarily attributable to charges associated with facility closures in the current quarter, partially offset by a favorable project mix and improved margins in backlog. For the nine months ended September 30, 2026, operating profit was $392 million compared to $386 million for the nine months ended September 30, 2025, an increase of $6 million. Strong execution on offshore production related equipment projects, partially offset by disruptions in the Middle East and the charges associated with facility closures, led to improved profitability for the nine months ended September 30, 2026 when compared to the same period of the prior year.</w:t>
      </w:r>
    </w:p>
    <w:p>
      <w:pPr>
        <w:spacing w:after="0" w:line="7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Energy Equipment segment monitors its capital equipment backlog to plan its business. New orders are added to backlog only when the Company receives a firm written order for major completion and production components or a contract related to a construction project. The capital equipment backlog was $3.98 billion at September 30, 2026, a decrease of $577 million from backlog of $4.56 billion at September 30, 2025. Although numerous factors can affect the timing of revenue out of backlog (including, but not limited to, customer change orders, supplier accelerations or delays, and the current uncertainty and conflict in the Middle East), the Company reasonably expects approximately 15 percent of backlog to become revenue during the rest of 2026 and the remainder thereafter. At September 30, 2026, approximately 57 percent of the capital equipment backlog was for offshore products and approximately 93 percent of the capital equipment backlog was destined for international markets.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Three and nine months ended September 30, 2026 and 2025</w:t>
      </w:r>
      <w:r>
        <w:rPr>
          <w:rFonts w:ascii="Times New Roman" w:cs="Times New Roman" w:eastAsia="Times New Roman" w:hAnsi="Times New Roman"/>
          <w:sz w:val="18"/>
          <w:szCs w:val="18"/>
          <w:color w:val="auto"/>
        </w:rPr>
        <w:t>. Revenue from Energy Products and Services was $1,057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2026, compared to $971 million for the three months ended September 30, 2025, an increase of $86 million or 9 percent. Revenue growth was led by increasing manufacturing throughput against the segment’s growing backlog of drill pipe and composite equipment. For the nine months ended September 30, 2026, revenue was $2,928 million compared to $2,988 million for the nine months ended September 30, 2025, a decrease of $60 million or 2 percent. The revenue decline was primarily driven by a decrease in capital equipment sales which were impacted by the conflict in the Middle East, partially offset by market share gains from the segment’s drill bit and artificial lift operations, and continued growth in digital services.</w:t>
      </w:r>
    </w:p>
    <w:p>
      <w:pPr>
        <w:spacing w:after="0" w:line="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Operating profit from Energy Products and Services was $88 million for the three months ended September 30, 2026, compared to an operating profit of $38 million for the three months ended September 30, 2025, an increase of $50 million. The increase was primarily attributable to improved operating performance and a more favorable sales mix. For the nine months ended September 30, 2026, operating profit was $199 million compared to $204 million for the nine months ended September 30, 2025, a decrease of $5 million. The decrease in profitability was primarily attributable to lower capital equipment sales which reduced manufacturing plant absorption.</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color w:val="auto"/>
        </w:rPr>
        <w:t>Eliminations and corporate costs</w:t>
      </w:r>
    </w:p>
    <w:p>
      <w:pPr>
        <w:spacing w:after="0" w:line="1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Eliminations and corporate costs were $68 million and $209 million for the three and nine months ended September 30, 2026, compared to $61 million and $188 million for the three and nine months ended September 30, 2025.</w:t>
      </w:r>
    </w:p>
    <w:p>
      <w:pPr>
        <w:spacing w:after="0" w:line="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 Eliminations increased 21 percent when compared to the third quarter of 2025 and 10 percent on a year-to-date basis due to higher activity.</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Corporate costs increased 6 percent when compared to the third quarter of 2025, primarily due to higher restructuring costs, while corporate costs increased 12 percent on a year-to-date basis primarily due to a non-recurring charge related to stock-based compensation during the first quarter of 2026 and other restructuring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financial costs and Interest income</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and financial costs were $21 million and $64 million for the three and nine months ended September 30, 2026, compared to $22 million and $66 million for the three and nine months ended September 30, 2025, remaining relatively consistent year-over-year.</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was $9 million and $28 million for the three and nine months ended September 30, 2026, compared to $11 million and $32 million for the three and nine months ended September 30, 2025. The decreases were primarily related to interest earned on lower cash balances in the current year compared to the prior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loss in unconsolidated affiliates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Equity loss in unconsolidated affiliates was $7 million and $15 million for the three and nine months ended September 30, 2026, compared to $11 million and $10 million for the three and nine months ended September 30, 2025. Sales for our largest investment in unconsolidated affiliates declined 13 percent for the third quarter of 2026 when compared to the third quarter of 2025. For the nine months ended September 30, 2026, sales declined 20 percent year-over-year. The decline in sales is primarily due to pricing pressures for oil country tubular goods which led to lower profitability year-over-year.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expense, net was zero and $16 million for the three and nine months ended September 30, 2026, compared to $12 million and $49 million for the three and nine months ended September 30, 2025. The change in expense was primarily due to larger foreign currency fluctuations in the prior year, particularly with the devaluation of the U.S.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2026 was 22.8% and 26.7%, respectively, compared to 39.7% and 24.9% for the same period in 2025. The U.S. statutory tax rate was 21% for all periods. The effective tax rate for the three months ended September 30, 2026 was negatively impacted by a mix of earnings in higher tax rate jurisdictions, partially offset by adjustments to prior year taxes. The effective tax rate for the nine months ended September 30, 2026 was negatively impacted by a mix of earnings in higher tax rate jurisdictions, losses in certain jurisdictions with no tax benefit, and a shortfall related to previously recognized stock compensation deductibility, partially offset by the release of previously recorded reserves for unrecognized tax benefits and adjustments to prior year taxes. The effective tax rate for the three months ended September 30, 2025 was negatively impacted by a mix of earnings in higher tax rate jurisdictions, pre-tax charges discrete to the quarter in lower tax rate jurisdictions, and losses in certain jurisdictions with no tax benefit, partially offset by interest income related to payments made in connection with tax disputes of $11 million. The effective tax rate for the nine months ended September 30, 2025 was negatively impacted by a mix of earnings in higher tax rate jurisdictions and losses in certain jurisdictions with no benefit, an increase to reserves for uncertain tax positions of $23 million, unfavorable adjustments related to the carrying value of deferred tax assets of $15 million, and unfavorable adjustments related to changes in certain foreign currency exchange rates of $6 million, partially offset by the release of previously recorded reserves for uncertain tax positions of $59 million as well as interest income related to payments made in connection with tax disputes of $11 million.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Non-GAAP Financial Measures and Reconciliations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w:t>
      </w:r>
    </w:p>
    <w:p>
      <w:pPr>
        <w:spacing w:after="0" w:line="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defines Adjusted operating profit as operating profit excluding gains and losses on fixed assets, and, when applicable, pre-tax Other Items. The Company defines Adjusted EBITDA as operating profit excluding depreciation, amortization, gains and losses on fixed assets, and, when applicable, pre-tax Other Items. Adjusted operating profit % is a ratio showing Adjusted operating profit as a percentage of sales and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operating profit, Adjusted operating profit %, Adjusted EBITDA, and Adjusted EBITDA % are not intended to replace GAAP financial measures, such as Net Income and operating profit %.</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tables set forth the reconciliation of Adjusted EBITDA to its most comparable GAAP financial measure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6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42"/>
        </w:trPr>
        <w:tc>
          <w:tcPr>
            <w:tcW w:w="4900" w:type="dxa"/>
            <w:vAlign w:val="bottom"/>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49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r>
      <w:tr>
        <w:trPr>
          <w:trHeight w:val="19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profit:</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w:t>
            </w:r>
          </w:p>
        </w:tc>
        <w:tc>
          <w:tcPr>
            <w:tcW w:w="28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w:t>
            </w:r>
          </w:p>
        </w:tc>
        <w:tc>
          <w:tcPr>
            <w:tcW w:w="160" w:type="dxa"/>
            <w:vAlign w:val="bottom"/>
          </w:tcPr>
          <w:p>
            <w:pPr>
              <w:spacing w:after="0"/>
              <w:rPr>
                <w:sz w:val="17"/>
                <w:szCs w:val="17"/>
                <w:color w:val="auto"/>
              </w:rPr>
            </w:pP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204</w:t>
            </w: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Eliminations and corporate costs</w:t>
            </w:r>
          </w:p>
        </w:tc>
        <w:tc>
          <w:tcPr>
            <w:tcW w:w="660" w:type="dxa"/>
            <w:vAlign w:val="bottom"/>
          </w:tcPr>
          <w:p>
            <w:pPr>
              <w:spacing w:after="0"/>
              <w:rPr>
                <w:sz w:val="17"/>
                <w:szCs w:val="17"/>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(68)</w:t>
            </w:r>
          </w:p>
        </w:tc>
        <w:tc>
          <w:tcPr>
            <w:tcW w:w="3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w:t>
            </w: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(69)</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(209)</w:t>
            </w: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(188)</w:t>
            </w:r>
          </w:p>
        </w:tc>
      </w:tr>
      <w:tr>
        <w:trPr>
          <w:trHeight w:val="20"/>
        </w:trPr>
        <w:tc>
          <w:tcPr>
            <w:tcW w:w="4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profit</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142</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402</w:t>
            </w:r>
          </w:p>
        </w:tc>
        <w:tc>
          <w:tcPr>
            <w:tcW w:w="160" w:type="dxa"/>
            <w:vAlign w:val="bottom"/>
            <w:shd w:val="clear" w:color="auto" w:fill="CFF0FC"/>
          </w:tcPr>
          <w:p>
            <w:pPr>
              <w:spacing w:after="0"/>
              <w:rPr>
                <w:sz w:val="20"/>
                <w:szCs w:val="20"/>
                <w:color w:val="auto"/>
              </w:rPr>
            </w:pP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Operating profit %:</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spacing w:after="0"/>
              <w:rPr>
                <w:sz w:val="17"/>
                <w:szCs w:val="17"/>
                <w:color w:val="auto"/>
              </w:rPr>
            </w:pP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10.0%</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10.4%</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14.5%</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10.8%</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10.7%</w:t>
            </w: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7"/>
                <w:szCs w:val="17"/>
                <w:color w:val="auto"/>
              </w:rPr>
              <w:t>8.3%</w:t>
            </w:r>
          </w:p>
        </w:tc>
        <w:tc>
          <w:tcPr>
            <w:tcW w:w="3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3.9%</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8.7%</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6.8%</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6.8%</w:t>
            </w: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Eliminations and corporate costs</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operating profit %</w:t>
            </w:r>
          </w:p>
        </w:tc>
        <w:tc>
          <w:tcPr>
            <w:tcW w:w="660" w:type="dxa"/>
            <w:vAlign w:val="bottom"/>
            <w:shd w:val="clear" w:color="auto" w:fill="CFF0FC"/>
          </w:tcPr>
          <w:p>
            <w:pPr>
              <w:spacing w:after="0"/>
              <w:rPr>
                <w:sz w:val="20"/>
                <w:szCs w:val="20"/>
                <w:color w:val="auto"/>
              </w:rPr>
            </w:pPr>
          </w:p>
        </w:tc>
        <w:tc>
          <w:tcPr>
            <w:tcW w:w="62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7"/>
                <w:szCs w:val="17"/>
                <w:color w:val="auto"/>
              </w:rPr>
              <w:t>6.4%</w:t>
            </w:r>
          </w:p>
        </w:tc>
        <w:tc>
          <w:tcPr>
            <w:tcW w:w="320" w:type="dxa"/>
            <w:vAlign w:val="bottom"/>
            <w:shd w:val="clear" w:color="auto" w:fill="CFF0FC"/>
          </w:tcPr>
          <w:p>
            <w:pPr>
              <w:spacing w:after="0"/>
              <w:rPr>
                <w:sz w:val="20"/>
                <w:szCs w:val="20"/>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4.9%</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9.0%</w:t>
            </w:r>
          </w:p>
        </w:tc>
        <w:tc>
          <w:tcPr>
            <w:tcW w:w="22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6.0%</w:t>
            </w:r>
          </w:p>
        </w:tc>
        <w:tc>
          <w:tcPr>
            <w:tcW w:w="32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6.2%</w:t>
            </w: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Pre-tax Other Items, net:</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60" w:type="dxa"/>
            <w:vAlign w:val="bottom"/>
          </w:tcPr>
          <w:p>
            <w:pPr>
              <w:spacing w:after="0"/>
              <w:rPr>
                <w:sz w:val="17"/>
                <w:szCs w:val="17"/>
                <w:color w:val="auto"/>
              </w:rPr>
            </w:pP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60" w:type="dxa"/>
            <w:vAlign w:val="bottom"/>
          </w:tcPr>
          <w:p>
            <w:pPr>
              <w:spacing w:after="0"/>
              <w:rPr>
                <w:sz w:val="17"/>
                <w:szCs w:val="17"/>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pre-tax Other Items</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shd w:val="clear" w:color="auto" w:fill="CFF0FC"/>
          </w:tcPr>
          <w:p>
            <w:pPr>
              <w:spacing w:after="0"/>
              <w:rPr>
                <w:sz w:val="20"/>
                <w:szCs w:val="20"/>
                <w:color w:val="auto"/>
              </w:rPr>
            </w:pP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(Gain) loss on fixed assets: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7"/>
                <w:szCs w:val="17"/>
                <w:color w:val="auto"/>
              </w:rPr>
              <w:t>(4)</w:t>
            </w:r>
          </w:p>
        </w:tc>
        <w:tc>
          <w:tcPr>
            <w:tcW w:w="3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(13)</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(16)</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(4)</w:t>
            </w: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60" w:type="dxa"/>
            <w:vAlign w:val="bottom"/>
          </w:tcPr>
          <w:p>
            <w:pPr>
              <w:spacing w:after="0"/>
              <w:rPr>
                <w:sz w:val="17"/>
                <w:szCs w:val="17"/>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(gain) loss on fixed assets</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7"/>
                <w:szCs w:val="17"/>
                <w:color w:val="auto"/>
              </w:rPr>
              <w:t>(1)</w:t>
            </w: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7"/>
                <w:szCs w:val="17"/>
                <w:color w:val="auto"/>
              </w:rPr>
              <w:t>(2)</w:t>
            </w: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Adjusted operating profit:</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28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432</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417</w:t>
            </w:r>
          </w:p>
        </w:tc>
        <w:tc>
          <w:tcPr>
            <w:tcW w:w="160" w:type="dxa"/>
            <w:vAlign w:val="bottom"/>
          </w:tcPr>
          <w:p>
            <w:pPr>
              <w:spacing w:after="0"/>
              <w:rPr>
                <w:sz w:val="17"/>
                <w:szCs w:val="17"/>
                <w:color w:val="auto"/>
              </w:rPr>
            </w:pP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81</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207</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Eliminations and corporate costs</w:t>
            </w:r>
          </w:p>
        </w:tc>
        <w:tc>
          <w:tcPr>
            <w:tcW w:w="660" w:type="dxa"/>
            <w:vAlign w:val="bottom"/>
          </w:tcPr>
          <w:p>
            <w:pPr>
              <w:spacing w:after="0"/>
              <w:rPr>
                <w:sz w:val="17"/>
                <w:szCs w:val="17"/>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(61)</w:t>
            </w:r>
          </w:p>
        </w:tc>
        <w:tc>
          <w:tcPr>
            <w:tcW w:w="3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(58)</w:t>
            </w: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(63)</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(176)</w:t>
            </w: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(172)</w:t>
            </w:r>
          </w:p>
        </w:tc>
      </w:tr>
      <w:tr>
        <w:trPr>
          <w:trHeight w:val="20"/>
        </w:trPr>
        <w:tc>
          <w:tcPr>
            <w:tcW w:w="4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Adjusted operating profit</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60" w:type="dxa"/>
            <w:vAlign w:val="bottom"/>
            <w:shd w:val="clear" w:color="auto" w:fill="CFF0FC"/>
          </w:tcPr>
          <w:p>
            <w:pPr>
              <w:spacing w:after="0"/>
              <w:rPr>
                <w:sz w:val="20"/>
                <w:szCs w:val="20"/>
                <w:color w:val="auto"/>
              </w:rPr>
            </w:pP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Depreciation &amp; amortization:</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28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160" w:type="dxa"/>
            <w:vAlign w:val="bottom"/>
          </w:tcPr>
          <w:p>
            <w:pPr>
              <w:spacing w:after="0"/>
              <w:rPr>
                <w:sz w:val="17"/>
                <w:szCs w:val="17"/>
                <w:color w:val="auto"/>
              </w:rPr>
            </w:pP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174</w:t>
            </w: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Corporate</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tcPr>
          <w:p>
            <w:pPr>
              <w:spacing w:after="0"/>
              <w:rPr>
                <w:sz w:val="17"/>
                <w:szCs w:val="17"/>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depreciation &amp; amortization</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60" w:type="dxa"/>
            <w:vAlign w:val="bottom"/>
            <w:shd w:val="clear" w:color="auto" w:fill="CFF0FC"/>
          </w:tcPr>
          <w:p>
            <w:pPr>
              <w:spacing w:after="0"/>
              <w:rPr>
                <w:sz w:val="20"/>
                <w:szCs w:val="20"/>
                <w:color w:val="auto"/>
              </w:rPr>
            </w:pP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Adjusted EBITDA:</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28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280" w:type="dxa"/>
            <w:vAlign w:val="bottom"/>
          </w:tcPr>
          <w:p>
            <w:pPr>
              <w:spacing w:after="0"/>
              <w:rPr>
                <w:sz w:val="17"/>
                <w:szCs w:val="17"/>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160" w:type="dxa"/>
            <w:vAlign w:val="bottom"/>
          </w:tcPr>
          <w:p>
            <w:pPr>
              <w:spacing w:after="0"/>
              <w:rPr>
                <w:sz w:val="17"/>
                <w:szCs w:val="17"/>
                <w:color w:val="auto"/>
              </w:rPr>
            </w:pP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153</w:t>
            </w: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426</w:t>
            </w:r>
          </w:p>
        </w:tc>
        <w:tc>
          <w:tcPr>
            <w:tcW w:w="160" w:type="dxa"/>
            <w:vAlign w:val="bottom"/>
            <w:shd w:val="clear" w:color="auto" w:fill="CFF0FC"/>
          </w:tcPr>
          <w:p>
            <w:pPr>
              <w:spacing w:after="0"/>
              <w:rPr>
                <w:sz w:val="17"/>
                <w:szCs w:val="17"/>
                <w:color w:val="auto"/>
              </w:rPr>
            </w:pPr>
          </w:p>
        </w:tc>
      </w:tr>
      <w:tr>
        <w:trPr>
          <w:trHeight w:val="202"/>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Eliminations and corporate costs</w:t>
            </w:r>
          </w:p>
        </w:tc>
        <w:tc>
          <w:tcPr>
            <w:tcW w:w="660" w:type="dxa"/>
            <w:vAlign w:val="bottom"/>
          </w:tcPr>
          <w:p>
            <w:pPr>
              <w:spacing w:after="0"/>
              <w:rPr>
                <w:sz w:val="17"/>
                <w:szCs w:val="17"/>
                <w:color w:val="auto"/>
              </w:rPr>
            </w:pPr>
          </w:p>
        </w:tc>
        <w:tc>
          <w:tcPr>
            <w:tcW w:w="620" w:type="dxa"/>
            <w:vAlign w:val="bottom"/>
            <w:gridSpan w:val="2"/>
          </w:tcPr>
          <w:p>
            <w:pPr>
              <w:jc w:val="right"/>
              <w:ind w:right="148"/>
              <w:spacing w:after="0"/>
              <w:rPr>
                <w:sz w:val="20"/>
                <w:szCs w:val="20"/>
                <w:color w:val="auto"/>
              </w:rPr>
            </w:pPr>
            <w:r>
              <w:rPr>
                <w:rFonts w:ascii="Times New Roman" w:cs="Times New Roman" w:eastAsia="Times New Roman" w:hAnsi="Times New Roman"/>
                <w:sz w:val="17"/>
                <w:szCs w:val="17"/>
                <w:color w:val="auto"/>
              </w:rPr>
              <w:t>(59)</w:t>
            </w:r>
          </w:p>
        </w:tc>
        <w:tc>
          <w:tcPr>
            <w:tcW w:w="320" w:type="dxa"/>
            <w:vAlign w:val="bottom"/>
          </w:tcPr>
          <w:p>
            <w:pPr>
              <w:spacing w:after="0"/>
              <w:rPr>
                <w:sz w:val="17"/>
                <w:szCs w:val="17"/>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(57)</w:t>
            </w:r>
          </w:p>
        </w:tc>
        <w:tc>
          <w:tcPr>
            <w:tcW w:w="16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(61)</w:t>
            </w:r>
          </w:p>
        </w:tc>
        <w:tc>
          <w:tcPr>
            <w:tcW w:w="22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(170)</w:t>
            </w:r>
          </w:p>
        </w:tc>
        <w:tc>
          <w:tcPr>
            <w:tcW w:w="32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(167)</w:t>
            </w:r>
          </w:p>
        </w:tc>
      </w:tr>
      <w:tr>
        <w:trPr>
          <w:trHeight w:val="20"/>
        </w:trPr>
        <w:tc>
          <w:tcPr>
            <w:tcW w:w="49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Adjusted EBITDA</w:t>
            </w:r>
          </w:p>
        </w:tc>
        <w:tc>
          <w:tcPr>
            <w:tcW w:w="660" w:type="dxa"/>
            <w:vAlign w:val="bottom"/>
            <w:shd w:val="clear" w:color="auto" w:fill="CFF0FC"/>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280" w:type="dxa"/>
            <w:vAlign w:val="bottom"/>
            <w:tcBorders>
              <w:right w:val="single" w:sz="8" w:color="CFF0FC"/>
            </w:tcBorders>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60" w:type="dxa"/>
            <w:vAlign w:val="bottom"/>
            <w:shd w:val="clear" w:color="auto" w:fill="CFF0FC"/>
          </w:tcPr>
          <w:p>
            <w:pPr>
              <w:spacing w:after="0"/>
              <w:rPr>
                <w:sz w:val="20"/>
                <w:szCs w:val="20"/>
                <w:color w:val="auto"/>
              </w:rPr>
            </w:pPr>
          </w:p>
        </w:tc>
      </w:tr>
      <w:tr>
        <w:trPr>
          <w:trHeight w:val="183"/>
        </w:trPr>
        <w:tc>
          <w:tcPr>
            <w:tcW w:w="4900" w:type="dxa"/>
            <w:vAlign w:val="bottom"/>
            <w:tcBorders>
              <w:top w:val="single" w:sz="8" w:color="CFF0FC"/>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8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c>
          <w:tcPr>
            <w:tcW w:w="160" w:type="dxa"/>
            <w:vAlign w:val="bottom"/>
            <w:tcBorders>
              <w:top w:val="single" w:sz="8" w:color="CFF0FC"/>
            </w:tcBorders>
          </w:tcPr>
          <w:p>
            <w:pPr>
              <w:spacing w:after="0"/>
              <w:rPr>
                <w:sz w:val="15"/>
                <w:szCs w:val="15"/>
                <w:color w:val="auto"/>
              </w:rPr>
            </w:pPr>
          </w:p>
        </w:tc>
      </w:tr>
      <w:tr>
        <w:trPr>
          <w:trHeight w:val="203"/>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Adjusted EBITDA %:</w:t>
            </w:r>
          </w:p>
        </w:tc>
        <w:tc>
          <w:tcPr>
            <w:tcW w:w="6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tcBorders>
              <w:right w:val="single" w:sz="8" w:color="CFF0FC"/>
            </w:tcBorders>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Energy Equipment</w:t>
            </w:r>
          </w:p>
        </w:tc>
        <w:tc>
          <w:tcPr>
            <w:tcW w:w="660" w:type="dxa"/>
            <w:vAlign w:val="bottom"/>
          </w:tcPr>
          <w:p>
            <w:pPr>
              <w:spacing w:after="0"/>
              <w:rPr>
                <w:sz w:val="17"/>
                <w:szCs w:val="17"/>
                <w:color w:val="auto"/>
              </w:rPr>
            </w:pPr>
          </w:p>
        </w:tc>
        <w:tc>
          <w:tcPr>
            <w:tcW w:w="620" w:type="dxa"/>
            <w:vAlign w:val="bottom"/>
            <w:gridSpan w:val="2"/>
          </w:tcPr>
          <w:p>
            <w:pPr>
              <w:jc w:val="right"/>
              <w:ind w:right="68"/>
              <w:spacing w:after="0"/>
              <w:rPr>
                <w:sz w:val="20"/>
                <w:szCs w:val="20"/>
                <w:color w:val="auto"/>
              </w:rPr>
            </w:pPr>
            <w:r>
              <w:rPr>
                <w:rFonts w:ascii="Times New Roman" w:cs="Times New Roman" w:eastAsia="Times New Roman" w:hAnsi="Times New Roman"/>
                <w:sz w:val="17"/>
                <w:szCs w:val="17"/>
                <w:color w:val="auto"/>
              </w:rPr>
              <w:t>15.3%</w:t>
            </w:r>
          </w:p>
        </w:tc>
        <w:tc>
          <w:tcPr>
            <w:tcW w:w="320" w:type="dxa"/>
            <w:vAlign w:val="bottom"/>
          </w:tcPr>
          <w:p>
            <w:pPr>
              <w:spacing w:after="0"/>
              <w:rPr>
                <w:sz w:val="17"/>
                <w:szCs w:val="17"/>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14.4%</w:t>
            </w:r>
          </w:p>
        </w:tc>
        <w:tc>
          <w:tcPr>
            <w:tcW w:w="160" w:type="dxa"/>
            <w:vAlign w:val="bottom"/>
          </w:tcPr>
          <w:p>
            <w:pPr>
              <w:spacing w:after="0"/>
              <w:rPr>
                <w:sz w:val="17"/>
                <w:szCs w:val="17"/>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16.4%</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14.3%</w:t>
            </w:r>
          </w:p>
        </w:tc>
        <w:tc>
          <w:tcPr>
            <w:tcW w:w="320" w:type="dxa"/>
            <w:vAlign w:val="bottom"/>
          </w:tcPr>
          <w:p>
            <w:pPr>
              <w:spacing w:after="0"/>
              <w:rPr>
                <w:sz w:val="17"/>
                <w:szCs w:val="17"/>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14.0%</w:t>
            </w:r>
          </w:p>
        </w:tc>
      </w:tr>
      <w:tr>
        <w:trPr>
          <w:trHeight w:val="203"/>
        </w:trPr>
        <w:tc>
          <w:tcPr>
            <w:tcW w:w="49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Energy Products and Services</w:t>
            </w:r>
          </w:p>
        </w:tc>
        <w:tc>
          <w:tcPr>
            <w:tcW w:w="660" w:type="dxa"/>
            <w:vAlign w:val="bottom"/>
            <w:shd w:val="clear" w:color="auto" w:fill="CFF0FC"/>
          </w:tcPr>
          <w:p>
            <w:pPr>
              <w:spacing w:after="0"/>
              <w:rPr>
                <w:sz w:val="17"/>
                <w:szCs w:val="17"/>
                <w:color w:val="auto"/>
              </w:rPr>
            </w:pPr>
          </w:p>
        </w:tc>
        <w:tc>
          <w:tcPr>
            <w:tcW w:w="62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7"/>
                <w:szCs w:val="17"/>
                <w:color w:val="auto"/>
              </w:rPr>
              <w:t>14.5%</w:t>
            </w:r>
          </w:p>
        </w:tc>
        <w:tc>
          <w:tcPr>
            <w:tcW w:w="3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13.9%</w:t>
            </w:r>
          </w:p>
        </w:tc>
        <w:tc>
          <w:tcPr>
            <w:tcW w:w="16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14.8%</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13.4%</w:t>
            </w:r>
          </w:p>
        </w:tc>
        <w:tc>
          <w:tcPr>
            <w:tcW w:w="32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14.3%</w:t>
            </w:r>
          </w:p>
        </w:tc>
      </w:tr>
      <w:tr>
        <w:trPr>
          <w:trHeight w:val="203"/>
        </w:trPr>
        <w:tc>
          <w:tcPr>
            <w:tcW w:w="49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Eliminations and corporate costs</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Adjusted EBITDA %</w:t>
            </w:r>
          </w:p>
        </w:tc>
        <w:tc>
          <w:tcPr>
            <w:tcW w:w="660" w:type="dxa"/>
            <w:vAlign w:val="bottom"/>
            <w:shd w:val="clear" w:color="auto" w:fill="CFF0FC"/>
          </w:tcPr>
          <w:p>
            <w:pPr>
              <w:spacing w:after="0"/>
              <w:rPr>
                <w:sz w:val="18"/>
                <w:szCs w:val="18"/>
                <w:color w:val="auto"/>
              </w:rPr>
            </w:pPr>
          </w:p>
        </w:tc>
        <w:tc>
          <w:tcPr>
            <w:tcW w:w="620" w:type="dxa"/>
            <w:vAlign w:val="bottom"/>
            <w:tcBorders>
              <w:right w:val="single" w:sz="8" w:color="CFF0FC"/>
            </w:tcBorders>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7"/>
                <w:szCs w:val="17"/>
                <w:color w:val="auto"/>
              </w:rPr>
              <w:t>12.6%</w:t>
            </w:r>
          </w:p>
        </w:tc>
        <w:tc>
          <w:tcPr>
            <w:tcW w:w="3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7"/>
                <w:szCs w:val="17"/>
                <w:color w:val="auto"/>
              </w:rPr>
              <w:t>11.9%</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13.3%</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7"/>
                <w:szCs w:val="17"/>
                <w:color w:val="auto"/>
              </w:rPr>
              <w:t>11.6%</w:t>
            </w:r>
          </w:p>
        </w:tc>
        <w:tc>
          <w:tcPr>
            <w:tcW w:w="3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7"/>
                <w:szCs w:val="17"/>
                <w:color w:val="auto"/>
              </w:rPr>
              <w:t>11.8%</w:t>
            </w:r>
          </w:p>
        </w:tc>
      </w:tr>
      <w:tr>
        <w:trPr>
          <w:trHeight w:val="20"/>
        </w:trPr>
        <w:tc>
          <w:tcPr>
            <w:tcW w:w="490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3750945</wp:posOffset>
            </wp:positionH>
            <wp:positionV relativeFrom="paragraph">
              <wp:posOffset>-5665470</wp:posOffset>
            </wp:positionV>
            <wp:extent cx="10287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-5648325</wp:posOffset>
            </wp:positionV>
            <wp:extent cx="10287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-5665470</wp:posOffset>
            </wp:positionV>
            <wp:extent cx="10287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-5648325</wp:posOffset>
            </wp:positionV>
            <wp:extent cx="10287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-5665470</wp:posOffset>
            </wp:positionV>
            <wp:extent cx="10287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-5648325</wp:posOffset>
            </wp:positionV>
            <wp:extent cx="10287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-5665470</wp:posOffset>
            </wp:positionV>
            <wp:extent cx="10287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-5648325</wp:posOffset>
            </wp:positionV>
            <wp:extent cx="10287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-5665470</wp:posOffset>
            </wp:positionV>
            <wp:extent cx="10287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-5648325</wp:posOffset>
            </wp:positionV>
            <wp:extent cx="10287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-4859655</wp:posOffset>
            </wp:positionV>
            <wp:extent cx="10287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-4842510</wp:posOffset>
            </wp:positionV>
            <wp:extent cx="10287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-4859655</wp:posOffset>
            </wp:positionV>
            <wp:extent cx="10287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-4842510</wp:posOffset>
            </wp:positionV>
            <wp:extent cx="10287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-4859655</wp:posOffset>
            </wp:positionV>
            <wp:extent cx="10287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-4842510</wp:posOffset>
            </wp:positionV>
            <wp:extent cx="1028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-4859655</wp:posOffset>
            </wp:positionV>
            <wp:extent cx="10287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-4842510</wp:posOffset>
            </wp:positionV>
            <wp:extent cx="10287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-4859655</wp:posOffset>
            </wp:positionV>
            <wp:extent cx="10287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-4842510</wp:posOffset>
            </wp:positionV>
            <wp:extent cx="10287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-4053840</wp:posOffset>
            </wp:positionV>
            <wp:extent cx="10287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-4036695</wp:posOffset>
            </wp:positionV>
            <wp:extent cx="10287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-4053840</wp:posOffset>
            </wp:positionV>
            <wp:extent cx="10287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-4036695</wp:posOffset>
            </wp:positionV>
            <wp:extent cx="10287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-4053840</wp:posOffset>
            </wp:positionV>
            <wp:extent cx="10287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-4036695</wp:posOffset>
            </wp:positionV>
            <wp:extent cx="10287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-4053840</wp:posOffset>
            </wp:positionV>
            <wp:extent cx="10287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-4036695</wp:posOffset>
            </wp:positionV>
            <wp:extent cx="10287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-4053840</wp:posOffset>
            </wp:positionV>
            <wp:extent cx="10287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-4036695</wp:posOffset>
            </wp:positionV>
            <wp:extent cx="10287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-3248025</wp:posOffset>
            </wp:positionV>
            <wp:extent cx="10287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-3230880</wp:posOffset>
            </wp:positionV>
            <wp:extent cx="10287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-3248025</wp:posOffset>
            </wp:positionV>
            <wp:extent cx="10287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-3230880</wp:posOffset>
            </wp:positionV>
            <wp:extent cx="10287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-3248025</wp:posOffset>
            </wp:positionV>
            <wp:extent cx="10287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-3230880</wp:posOffset>
            </wp:positionV>
            <wp:extent cx="10287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-3248025</wp:posOffset>
            </wp:positionV>
            <wp:extent cx="10287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-3230880</wp:posOffset>
            </wp:positionV>
            <wp:extent cx="10287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-3248025</wp:posOffset>
            </wp:positionV>
            <wp:extent cx="10287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-3230880</wp:posOffset>
            </wp:positionV>
            <wp:extent cx="10287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-2442210</wp:posOffset>
            </wp:positionV>
            <wp:extent cx="10287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-2425065</wp:posOffset>
            </wp:positionV>
            <wp:extent cx="10287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-2442210</wp:posOffset>
            </wp:positionV>
            <wp:extent cx="10287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-2425065</wp:posOffset>
            </wp:positionV>
            <wp:extent cx="10287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-2442210</wp:posOffset>
            </wp:positionV>
            <wp:extent cx="10287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-2425065</wp:posOffset>
            </wp:positionV>
            <wp:extent cx="10287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-2442210</wp:posOffset>
            </wp:positionV>
            <wp:extent cx="10287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-2425065</wp:posOffset>
            </wp:positionV>
            <wp:extent cx="10287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-2442210</wp:posOffset>
            </wp:positionV>
            <wp:extent cx="10287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-2425065</wp:posOffset>
            </wp:positionV>
            <wp:extent cx="10287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-1637030</wp:posOffset>
            </wp:positionV>
            <wp:extent cx="10287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-1619250</wp:posOffset>
            </wp:positionV>
            <wp:extent cx="10287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-1637030</wp:posOffset>
            </wp:positionV>
            <wp:extent cx="10287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-1619250</wp:posOffset>
            </wp:positionV>
            <wp:extent cx="10287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-1637030</wp:posOffset>
            </wp:positionV>
            <wp:extent cx="10287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-1619250</wp:posOffset>
            </wp:positionV>
            <wp:extent cx="10287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-1637030</wp:posOffset>
            </wp:positionV>
            <wp:extent cx="10287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-1619250</wp:posOffset>
            </wp:positionV>
            <wp:extent cx="10287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-1637030</wp:posOffset>
            </wp:positionV>
            <wp:extent cx="10287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-1619250</wp:posOffset>
            </wp:positionV>
            <wp:extent cx="10287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-830580</wp:posOffset>
            </wp:positionV>
            <wp:extent cx="10287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-813435</wp:posOffset>
            </wp:positionV>
            <wp:extent cx="10287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-830580</wp:posOffset>
            </wp:positionV>
            <wp:extent cx="10287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-813435</wp:posOffset>
            </wp:positionV>
            <wp:extent cx="10287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-830580</wp:posOffset>
            </wp:positionV>
            <wp:extent cx="10287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-813435</wp:posOffset>
            </wp:positionV>
            <wp:extent cx="10287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-830580</wp:posOffset>
            </wp:positionV>
            <wp:extent cx="1028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-813435</wp:posOffset>
            </wp:positionV>
            <wp:extent cx="10287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-830580</wp:posOffset>
            </wp:positionV>
            <wp:extent cx="1028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-813435</wp:posOffset>
            </wp:positionV>
            <wp:extent cx="10287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-25400</wp:posOffset>
            </wp:positionV>
            <wp:extent cx="1028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-8255</wp:posOffset>
            </wp:positionV>
            <wp:extent cx="10287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-25400</wp:posOffset>
            </wp:positionV>
            <wp:extent cx="10287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-8255</wp:posOffset>
            </wp:positionV>
            <wp:extent cx="10287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-25400</wp:posOffset>
            </wp:positionV>
            <wp:extent cx="10287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-8255</wp:posOffset>
            </wp:positionV>
            <wp:extent cx="1028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-25400</wp:posOffset>
            </wp:positionV>
            <wp:extent cx="10287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6211570</wp:posOffset>
            </wp:positionH>
            <wp:positionV relativeFrom="paragraph">
              <wp:posOffset>-8255</wp:posOffset>
            </wp:positionV>
            <wp:extent cx="10287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-25400</wp:posOffset>
            </wp:positionV>
            <wp:extent cx="10287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7034530</wp:posOffset>
            </wp:positionH>
            <wp:positionV relativeFrom="paragraph">
              <wp:posOffset>-8255</wp:posOffset>
            </wp:positionV>
            <wp:extent cx="10287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73"/>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160" w:type="dxa"/>
            <w:vAlign w:val="bottom"/>
            <w:gridSpan w:val="5"/>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3"/>
        </w:trPr>
        <w:tc>
          <w:tcPr>
            <w:tcW w:w="4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83"/>
        </w:trPr>
        <w:tc>
          <w:tcPr>
            <w:tcW w:w="4820" w:type="dxa"/>
            <w:vAlign w:val="bottom"/>
          </w:tcPr>
          <w:p>
            <w:pPr>
              <w:spacing w:after="0"/>
              <w:rPr>
                <w:sz w:val="15"/>
                <w:szCs w:val="15"/>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Reconciliation of Adjusted operating profit and Adjusted EBITDA:</w:t>
            </w:r>
          </w:p>
        </w:tc>
        <w:tc>
          <w:tcPr>
            <w:tcW w:w="200" w:type="dxa"/>
            <w:vAlign w:val="bottom"/>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86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800" w:type="dxa"/>
            <w:vAlign w:val="bottom"/>
            <w:tcBorders>
              <w:top w:val="single" w:sz="8" w:color="auto"/>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GAAP net income attributable to Company</w:t>
            </w:r>
          </w:p>
        </w:tc>
        <w:tc>
          <w:tcPr>
            <w:tcW w:w="900" w:type="dxa"/>
            <w:vAlign w:val="bottom"/>
            <w:gridSpan w:val="2"/>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c>
          <w:tcPr>
            <w:tcW w:w="80" w:type="dxa"/>
            <w:vAlign w:val="bottom"/>
          </w:tcPr>
          <w:p>
            <w:pPr>
              <w:spacing w:after="0"/>
              <w:rPr>
                <w:sz w:val="17"/>
                <w:szCs w:val="17"/>
                <w:color w:val="auto"/>
              </w:rPr>
            </w:pPr>
          </w:p>
        </w:tc>
        <w:tc>
          <w:tcPr>
            <w:tcW w:w="52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220" w:type="dxa"/>
            <w:vAlign w:val="bottom"/>
          </w:tcPr>
          <w:p>
            <w:pPr>
              <w:spacing w:after="0"/>
              <w:rPr>
                <w:sz w:val="17"/>
                <w:szCs w:val="17"/>
                <w:color w:val="auto"/>
              </w:rPr>
            </w:pP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w:t>
            </w:r>
          </w:p>
        </w:tc>
        <w:tc>
          <w:tcPr>
            <w:tcW w:w="220" w:type="dxa"/>
            <w:vAlign w:val="bottom"/>
          </w:tcPr>
          <w:p>
            <w:pPr>
              <w:spacing w:after="0"/>
              <w:rPr>
                <w:sz w:val="17"/>
                <w:szCs w:val="17"/>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Noncontrolling interests</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Interest and financial costs</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66</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income</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(11)</w:t>
            </w:r>
          </w:p>
        </w:tc>
        <w:tc>
          <w:tcPr>
            <w:tcW w:w="18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(8)</w:t>
            </w:r>
          </w:p>
        </w:tc>
        <w:tc>
          <w:tcPr>
            <w:tcW w:w="22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(28)</w:t>
            </w:r>
          </w:p>
        </w:tc>
        <w:tc>
          <w:tcPr>
            <w:tcW w:w="34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w:t>
            </w:r>
          </w:p>
        </w:tc>
      </w:tr>
      <w:tr>
        <w:trPr>
          <w:trHeight w:val="203"/>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Equity loss in unconsolidated affiliates</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Other expense, net</w:t>
            </w: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w:t>
            </w:r>
          </w:p>
        </w:tc>
        <w:tc>
          <w:tcPr>
            <w:tcW w:w="100" w:type="dxa"/>
            <w:vAlign w:val="bottom"/>
          </w:tcPr>
          <w:p>
            <w:pPr>
              <w:spacing w:after="0"/>
              <w:rPr>
                <w:sz w:val="17"/>
                <w:szCs w:val="17"/>
                <w:color w:val="auto"/>
              </w:rPr>
            </w:pPr>
          </w:p>
        </w:tc>
      </w:tr>
      <w:tr>
        <w:trPr>
          <w:trHeight w:val="203"/>
        </w:trPr>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7"/>
                <w:szCs w:val="17"/>
                <w:color w:val="auto"/>
              </w:rPr>
              <w:t>(Gain) loss on fixed assets</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7"/>
                <w:szCs w:val="17"/>
                <w:color w:val="auto"/>
              </w:rPr>
              <w:t>(3)</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(20)</w:t>
            </w:r>
          </w:p>
        </w:tc>
        <w:tc>
          <w:tcPr>
            <w:tcW w:w="22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7"/>
                <w:szCs w:val="17"/>
                <w:color w:val="auto"/>
              </w:rPr>
              <w:t>(1)</w:t>
            </w:r>
          </w:p>
        </w:tc>
        <w:tc>
          <w:tcPr>
            <w:tcW w:w="3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color w:val="auto"/>
              </w:rPr>
              <w:t>(2)</w:t>
            </w: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Pre-tax Other Items, net</w:t>
            </w: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00" w:type="dxa"/>
            <w:vAlign w:val="bottom"/>
          </w:tcPr>
          <w:p>
            <w:pPr>
              <w:spacing w:after="0"/>
              <w:rPr>
                <w:sz w:val="17"/>
                <w:szCs w:val="17"/>
                <w:color w:val="auto"/>
              </w:rPr>
            </w:pPr>
          </w:p>
        </w:tc>
      </w:tr>
      <w:tr>
        <w:trPr>
          <w:trHeight w:val="19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Adjusted operating profit</w:t>
            </w:r>
          </w:p>
        </w:tc>
        <w:tc>
          <w:tcPr>
            <w:tcW w:w="2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188</w:t>
            </w: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169</w:t>
            </w: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22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00" w:type="dxa"/>
            <w:vAlign w:val="bottom"/>
            <w:shd w:val="clear" w:color="auto" w:fill="CFF0FC"/>
          </w:tcPr>
          <w:p>
            <w:pPr>
              <w:spacing w:after="0"/>
              <w:rPr>
                <w:sz w:val="17"/>
                <w:szCs w:val="17"/>
                <w:color w:val="auto"/>
              </w:rPr>
            </w:pPr>
          </w:p>
        </w:tc>
      </w:tr>
      <w:tr>
        <w:trPr>
          <w:trHeight w:val="203"/>
        </w:trPr>
        <w:tc>
          <w:tcPr>
            <w:tcW w:w="48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0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2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2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w:t>
            </w:r>
          </w:p>
        </w:tc>
        <w:tc>
          <w:tcPr>
            <w:tcW w:w="100" w:type="dxa"/>
            <w:vAlign w:val="bottom"/>
          </w:tcPr>
          <w:p>
            <w:pPr>
              <w:spacing w:after="0"/>
              <w:rPr>
                <w:sz w:val="17"/>
                <w:szCs w:val="17"/>
                <w:color w:val="auto"/>
              </w:rPr>
            </w:pPr>
          </w:p>
        </w:tc>
      </w:tr>
      <w:tr>
        <w:trPr>
          <w:trHeight w:val="216"/>
        </w:trPr>
        <w:tc>
          <w:tcPr>
            <w:tcW w:w="482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Total Adjusted EBITDA</w:t>
            </w:r>
          </w:p>
        </w:tc>
        <w:tc>
          <w:tcPr>
            <w:tcW w:w="900" w:type="dxa"/>
            <w:vAlign w:val="bottom"/>
            <w:gridSpan w:val="2"/>
            <w:shd w:val="clear" w:color="auto" w:fill="CFF0FC"/>
          </w:tcPr>
          <w:p>
            <w:pPr>
              <w:jc w:val="right"/>
              <w:ind w:right="6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281</w:t>
            </w:r>
          </w:p>
        </w:tc>
        <w:tc>
          <w:tcPr>
            <w:tcW w:w="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240" w:type="dxa"/>
            <w:vAlign w:val="bottom"/>
            <w:tcBorders>
              <w:right w:val="single" w:sz="8" w:color="CFF0FC"/>
            </w:tcBorders>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762</w:t>
            </w:r>
          </w:p>
        </w:tc>
        <w:tc>
          <w:tcPr>
            <w:tcW w:w="100" w:type="dxa"/>
            <w:vAlign w:val="bottom"/>
            <w:shd w:val="clear" w:color="auto" w:fill="CFF0FC"/>
          </w:tcPr>
          <w:p>
            <w:pPr>
              <w:spacing w:after="0"/>
              <w:rPr>
                <w:sz w:val="18"/>
                <w:szCs w:val="18"/>
                <w:color w:val="auto"/>
              </w:rPr>
            </w:pPr>
          </w:p>
        </w:tc>
      </w:tr>
      <w:tr>
        <w:trPr>
          <w:trHeight w:val="20"/>
        </w:trPr>
        <w:tc>
          <w:tcPr>
            <w:tcW w:w="48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-25400</wp:posOffset>
            </wp:positionV>
            <wp:extent cx="76835"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-7620</wp:posOffset>
            </wp:positionV>
            <wp:extent cx="768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76835"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-7620</wp:posOffset>
            </wp:positionV>
            <wp:extent cx="76835"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-25400</wp:posOffset>
            </wp:positionV>
            <wp:extent cx="6858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-7620</wp:posOffset>
            </wp:positionV>
            <wp:extent cx="6858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-25400</wp:posOffset>
            </wp:positionV>
            <wp:extent cx="6858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6280150</wp:posOffset>
            </wp:positionH>
            <wp:positionV relativeFrom="paragraph">
              <wp:posOffset>-7620</wp:posOffset>
            </wp:positionV>
            <wp:extent cx="6858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2026, the Company had cash and cash equivalents of $1,058 million and total debt of $1,707 million. At December 31, 2025, cash and cash equivalents were $1,552 million and total debt was $1,718 million. As of September 30, 2026, approximately $675 million of the $1,058 million of cash and cash equivalents was held by our foreign subsidiaries and the earnings associated with this cash could be subject to foreign withholding taxes and incremental U.S. taxation if transferred among countries or repatriated to the U.S. If opportunities to invest in the U.S. are greater than available cash balances that are not subject to income tax, rather than repatriating cash, the Company may choose to borrow against its revolving credit facility.</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revolving credit facility with a borrowing capacity of $1.5 billion through September 12, 2030. The Company has the right to increase the aggregate commitments under this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credit facility contains a financial covenant establishing a maximum debt-to-capitalization ratio of 60%. As of September 30, 2026, the Company was in compliance with a debt-to-capitalization ratio of 23.7% and had no borrowings or letters of credit issued under the facility, resulting in $1.50 billion of available funds.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 consolidated joint venture of the Company borrowed $120 million against a $150 million bank line of credit, payable by June 2032, for the construction of a facility in Saudi Arabia. Interest under the bank line of credit is based upon SOFR plus 1.40%. The bank line of credit contains a financial covenant regarding maximum debt-to-equity ratio of 75%. As of September 30, 2026, the joint venture was in compliance and will not have future borrowings on the line of credit. As of September 30, 2026, the Company had $78 million in borrowings related to this line of credit. The Company has $12 million in payments related to this line of credit due in the next twelve months. The Company can repay the entire outstanding facility balance without penalty at its sole discretion.</w:t>
      </w:r>
    </w:p>
    <w:p>
      <w:pPr>
        <w:spacing w:after="0" w:line="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debt at September 30, 2026 included $40 million of amounts owed to current minority interest partners of NOV consolidated joint ventures, of which $1 million is due in the next twelve months.</w:t>
      </w:r>
    </w:p>
    <w:p>
      <w:pPr>
        <w:spacing w:after="0" w:line="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outstanding debt at September 30, 2026 also consisted of $1,092 million in 3.95% Senior Notes, maturing on December 1, 2042, and $498 million in 3.60% Senior Notes, maturing on December 1, 2029. The Company was in compliance with all covenants at September 30, 2026. Long-term lease liabilities totaled $513 million at September 30, 2026.</w:t>
      </w:r>
    </w:p>
    <w:p>
      <w:pPr>
        <w:spacing w:after="0" w:line="6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had $1,052 million of outstanding letters of credit at September 30, 2026, primarily in Norway and the United States, that are under various bilateral letter of credit facilities. Letters of credit are issued as bid bonds, advanced payment bonds and performance bonds.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27" w:name="page28"/>
    <w:bookmarkEnd w:id="27"/>
    <w:p>
      <w:pPr>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net cash provided by (used in) continuing operating activities, continuing investing activities and continuing financing activities for the periods presented (in millions):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Borders>
              <w:bottom w:val="single" w:sz="8" w:color="auto"/>
            </w:tcBorders>
            <w:gridSpan w:val="5"/>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5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0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2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868"/>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0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3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(202)</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(266)</w:t>
            </w:r>
          </w:p>
        </w:tc>
      </w:tr>
      <w:tr>
        <w:trPr>
          <w:trHeight w:val="216"/>
        </w:trPr>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38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(316)</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w:t>
            </w:r>
          </w:p>
        </w:tc>
      </w:tr>
    </w:tbl>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sources and uses of cash during the first nine months of 2026</w:t>
      </w:r>
    </w:p>
    <w:p>
      <w:pPr>
        <w:spacing w:after="0" w:line="119" w:lineRule="exact"/>
        <w:rPr>
          <w:sz w:val="20"/>
          <w:szCs w:val="20"/>
          <w:color w:val="auto"/>
        </w:rPr>
      </w:pPr>
    </w:p>
    <w:p>
      <w:pPr>
        <w:ind w:left="760" w:right="20" w:hanging="378"/>
        <w:spacing w:after="0" w:line="282"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were $32 million, primarily driven by profitability and changes in the primary components of our working capital (receivables, inventories, contract assets and liabilities, accounts payable, and accrued liabilities).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$234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to our shareholders were $129 million.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$145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effect of the change in exchange rates on cash flows was a decrease of $8 million for the first nine months of 2026, and an increase of $16 million for the first nine months of 2025.</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that cash on hand, cash generated from operations and amounts available under our credit facilities and from other sources of debt will be sufficient to fund operations, lease payments, working capital needs, capital expenditure requirements, dividends and financing obligations.</w:t>
      </w:r>
    </w:p>
    <w:p>
      <w:pPr>
        <w:spacing w:after="0" w:line="5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During the three and nine months ended September 30, 2026, the Company repurchased approximately 0.8 million shares of common stock under the share repurchase program for an aggregate amount of $15 million, and 7.5 million shares of common stock under the program for an aggregate amount of $145 million, respectively. During the three and nine months ended September 30, 2025, the Company repurchased approximately 6.2 million shares of common stock under the share repurchase program for an aggregate amount of $80 million, and 17.1 million shares of common stock under the program for an aggregate amount of $230 million, respectively. The Company expects to return at least 50% of Excess Free Cash Flow (defined as cash flow from operations less capital expenditures and other investments, including acquisitions and divestitures), through a combination of quarterly base dividends, opportunistic stock buybacks, and an annual supplemental dividend to true-up returns to shareholders on an annual basis.</w:t>
      </w:r>
    </w:p>
    <w:p>
      <w:pPr>
        <w:spacing w:after="0" w:line="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pursue acquisition candidates, but the timing, size or success of any acquisition effort and the related potential capital commitments cannot be predicted. We continue to expect to fund future cash acquisitions primarily with cash flow from operations and borrowings, including the unborrowed portion of the revolving credit facility or new debt issuances, but may also issue additional equity either directly or in connection with acquisitions. There can be no assurance that additional financing for acquisitions will be available at terms acceptable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document contains, or has incorporated by reference, statements that are not historical facts, including estimates, projections, and statements relating to our business plans, objectives, and expected operating results that are “forward-looking statements” within the meaning of the Private Securities Litigation Reform Act of 1995. Such statements often contain words such as “may,” “can,” “likely,” “believe,” “plan,” “predict,” “potential,” “will,” “intend,” “think,” “should,” “expect,” “anticipate,” “estimate,” “forecast,” “expectation,” “goal,” “outlook,” “projected,” “projections,” “target,” and other similar words, although some such statements are expressed differently. Other oral or written statements we release to the public may also contain forward-looking statements. Forward-looking statements involve risks and uncertainties and reflect our best judgment based on current information. You should be aware that our actual results could differ materially from results anticipated in such forward-looking statements due to a number of factors, including but not limited to changes in oil and gas prices, customer demand for our products, challenges related to NOV’s operations in the Middle East, potential catastrophic events related to our operations, protection of intellectual property rights, compliance with laws, and worldwide economic activity, including matters related to sanctions and changes in U.S. trade policies, including the imposition of tariffs and retaliatory tariffs, the outcome of a challenge to or reversal of tariff refunds, and their related impacts on the economy. Given these uncertainties, current or prospective investors are cautioned not to place undue reliance on any such forward-looking statements. Except as required by law, we undertake no obligation to update any such factors or forward-looking statements to reflect future events or developments. You should also consider carefully the statements under “Risk Factors,” as disclosed in our most recent Annual Report on Form 10-K, as updated in Part II, Item 1A of our most recent Quarterly Report on Form 10-Q, and “Management’s Discussion and Analysis of Financial Condition and Results of Operations” of our most recent Annual Report on Form 10-K, which address additional factors that could cause our actual results to differ from those set forth in such forward-looking statements, as well as additional disclosures we make in our press releases and other securities filings. We also suggest that you listen to our quarterly earnings release conference calls with financial analysts.</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changes in foreign currency exchange rates and interest rates. Additional information concerning each of these matters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extensive operations in foreign countries. The net assets and liabilities of these operations are exposed to changes in foreign currency exchange rates, although such fluctuations have a muted effect on net income since the functional currency for the majority of them is the local currency. These operations also have net assets and liabilities not denominated in the functional currency, which exposes us to changes in foreign currency exchange rates that impact income. We recorded a foreign exchange loss in our income statement of $6 million in the first nine months of 2026, compared to a $42 million foreign exchange loss in the same period of the prior year. Gains and losses are primarily due to exchange rate fluctuations related to monetary asset balances denominated in currencies other than the functional currency and adjustments to our hedged positions as a result of changes in foreign currency exchange rates. Currency exchange rate fluctuations may create losses in future periods to the extent we maintain net monetary assets and liabilities not denominated in the functional currency of the NOV operation.</w:t>
      </w:r>
    </w:p>
    <w:p>
      <w:pPr>
        <w:spacing w:after="0" w:line="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revenues in foreign countries are denominated in U.S. dollars, and therefore, changes in foreign currency exchange rates impact our earnings to the extent that costs associated with those U.S. dollar revenues are denominated in the local currency. Similarly, some of our revenues are denominated in foreign currencies, but have associated U.S. dollar costs, which also give rise to foreign currency exchange rate exposure. In order to mitigate that risk, we may utilize foreign currency forward contracts to better match the currency of our revenues and associated costs. We do not use foreign currency forward contracts for trading or speculative purposes.</w:t>
      </w:r>
    </w:p>
    <w:p>
      <w:pPr>
        <w:spacing w:after="0" w:line="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had other financial market risk sensitive instruments (cash balances, overdraft facilities, accounts receivable and accounts payable) denominated in foreign currencies with transactional exposures totaling $714 million and translation exposures totaling $291 million as of September 30, 2026. The Company estimates that a hypothetical 10% movement of all applicable foreign currency exchange rates on the transactional exposures could affect net income by $56 million and the translational exposures could affect other comprehensive income by $29 million.</w:t>
      </w:r>
    </w:p>
    <w:p>
      <w:pPr>
        <w:spacing w:after="0" w:line="7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counterparties to forward contracts are major financial institutions. The credit ratings and concentration of risk of these financial institutions are monitored on a continuing basis. Because these contracts are net-settled the Company’s credit risk with the counterparties is limited to the foreign currency rate differential at the end of the contract.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2026, borrowings consisted of $1,092 million in 3.95% Senior Notes, $498 million in 3.60% Senior Notes, and other debt of $117 million. At September 30, 2026, there were no outstanding letters of credit issued under the Company’s revolving credit facility, resulting in $1.50 billion of available funds. Additionally, the Company’s joint venture has outstanding borrowings of $78 million under a $150 million bank line of credit for the construction of a facility in Saudi Arabia. Interest under the bank line of credit is based upon SOFR plus 1.40%. Occasionally a portion of borrowings under our credit facility could be denominated in multiple currencies which could expose us to market risk with exchange rate movements. These instruments carry interest at a pre-agreed upon percentage point spread from either SOFR, EURIBOR, SONIA, CORRA, or NIBOR, or at the U.S. prime rate. Under our credit facility, we may, at our option, fix the interest rate for certain borrowings based on a spread over SOFR, EURIBOR, SONIA, CORRA or NIBOR for one month to six months. Our objective is to maintain a portion of our debt in variable rate borrowings for the flexibility obtained regarding early repayment without penalties and lower overall cost as compared with fixed-rate borrowings.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spacing w:after="0" w:line="8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Part I, Item 1A “Risk Factors” in our 2025 Annual Report on Form 10-K for the fiscal year ended December 31, 2025.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Purchases of Equity Securities by the Issuer and Affiliated Purchasers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vMerge w:val="restart"/>
          </w:tcPr>
          <w:p>
            <w:pPr>
              <w:jc w:val="center"/>
              <w:ind w:right="2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7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tcPr>
          <w:p>
            <w:pPr>
              <w:jc w:val="center"/>
              <w:ind w:right="318"/>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00" w:type="dxa"/>
            <w:vAlign w:val="bottom"/>
          </w:tcPr>
          <w:p>
            <w:pPr>
              <w:spacing w:after="0"/>
              <w:rPr>
                <w:sz w:val="12"/>
                <w:szCs w:val="12"/>
                <w:color w:val="auto"/>
              </w:rPr>
            </w:pPr>
          </w:p>
        </w:tc>
        <w:tc>
          <w:tcPr>
            <w:tcW w:w="1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76"/>
        </w:trPr>
        <w:tc>
          <w:tcPr>
            <w:tcW w:w="27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2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318"/>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0" w:type="dxa"/>
            <w:vAlign w:val="bottom"/>
          </w:tcPr>
          <w:p>
            <w:pPr>
              <w:spacing w:after="0"/>
              <w:rPr>
                <w:sz w:val="15"/>
                <w:szCs w:val="15"/>
                <w:color w:val="auto"/>
              </w:rPr>
            </w:pPr>
          </w:p>
        </w:tc>
        <w:tc>
          <w:tcPr>
            <w:tcW w:w="192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7"/>
              </w:rPr>
              <w:t>or programs</w:t>
            </w:r>
            <w:r>
              <w:rPr>
                <w:rFonts w:ascii="Times New Roman" w:cs="Times New Roman" w:eastAsia="Times New Roman" w:hAnsi="Times New Roman"/>
                <w:sz w:val="19"/>
                <w:szCs w:val="19"/>
                <w:b w:val="1"/>
                <w:bCs w:val="1"/>
                <w:color w:val="auto"/>
                <w:w w:val="97"/>
                <w:vertAlign w:val="superscript"/>
              </w:rPr>
              <w:t>(1)</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July 1 through July 31, 2026</w:t>
            </w:r>
          </w:p>
        </w:tc>
        <w:tc>
          <w:tcPr>
            <w:tcW w:w="2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833,046</w:t>
            </w:r>
          </w:p>
        </w:tc>
        <w:tc>
          <w:tcPr>
            <w:tcW w:w="6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833,046</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310,993,406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August 1 through August 31, 2026</w:t>
            </w:r>
          </w:p>
        </w:tc>
        <w:tc>
          <w:tcPr>
            <w:tcW w:w="12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310,993,406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7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September 1 through September 30,</w:t>
            </w:r>
          </w:p>
        </w:tc>
        <w:tc>
          <w:tcPr>
            <w:tcW w:w="120" w:type="dxa"/>
            <w:vAlign w:val="bottom"/>
            <w:shd w:val="clear" w:color="auto" w:fill="CFF0FC"/>
          </w:tcPr>
          <w:p>
            <w:pPr>
              <w:spacing w:after="0"/>
              <w:rPr>
                <w:sz w:val="17"/>
                <w:szCs w:val="17"/>
                <w:color w:val="auto"/>
              </w:rPr>
            </w:pPr>
          </w:p>
        </w:tc>
        <w:tc>
          <w:tcPr>
            <w:tcW w:w="19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5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1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7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Borders>
              <w:bottom w:val="single" w:sz="8" w:color="CFF0FC"/>
            </w:tcBorders>
            <w:shd w:val="clear" w:color="auto" w:fill="CFF0FC"/>
          </w:tcPr>
          <w:p>
            <w:pPr>
              <w:spacing w:after="0"/>
              <w:rPr>
                <w:sz w:val="19"/>
                <w:szCs w:val="19"/>
                <w:color w:val="auto"/>
              </w:rPr>
            </w:pPr>
          </w:p>
        </w:tc>
        <w:tc>
          <w:tcPr>
            <w:tcW w:w="1940" w:type="dxa"/>
            <w:vAlign w:val="bottom"/>
            <w:tcBorders>
              <w:bottom w:val="single" w:sz="8" w:color="auto"/>
            </w:tcBorders>
            <w:vMerge w:val="continue"/>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spacing w:after="0"/>
              <w:rPr>
                <w:sz w:val="19"/>
                <w:szCs w:val="19"/>
                <w:color w:val="auto"/>
              </w:rPr>
            </w:pPr>
          </w:p>
        </w:tc>
        <w:tc>
          <w:tcPr>
            <w:tcW w:w="154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vMerge w:val="continue"/>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7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310,993,406</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833,046</w:t>
            </w:r>
          </w:p>
        </w:tc>
        <w:tc>
          <w:tcPr>
            <w:tcW w:w="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w:t>
            </w:r>
          </w:p>
        </w:tc>
        <w:tc>
          <w:tcPr>
            <w:tcW w:w="2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833,046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3022600</wp:posOffset>
            </wp:positionH>
            <wp:positionV relativeFrom="paragraph">
              <wp:posOffset>-170815</wp:posOffset>
            </wp:positionV>
            <wp:extent cx="7747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4377055</wp:posOffset>
            </wp:positionH>
            <wp:positionV relativeFrom="paragraph">
              <wp:posOffset>-170815</wp:posOffset>
            </wp:positionV>
            <wp:extent cx="6858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-170815</wp:posOffset>
            </wp:positionV>
            <wp:extent cx="6858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3" w:lineRule="exact"/>
        <w:rPr>
          <w:sz w:val="20"/>
          <w:szCs w:val="20"/>
          <w:color w:val="auto"/>
        </w:rPr>
      </w:pPr>
    </w:p>
    <w:p>
      <w:pPr>
        <w:ind w:left="380" w:hanging="372"/>
        <w:spacing w:after="0" w:line="282" w:lineRule="auto"/>
        <w:tabs>
          <w:tab w:leader="none" w:pos="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April 25, 2024, the Company established a share repurchase program for up to $1 billion of the currently outstanding shares of the Company’s common stock over a period of 36 months.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mine safety and other regulatory actions at our mines is included in Exhibit 95 to this Form 10-Q.</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quarter ended September 30, 2026, no director or Section 16 officer adopted or terminated any Rule 10b5-1 trading arrangements or non-Rule 10b5-1 trading arrangements, as defined under Item 408(a) of Regulation 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the Exhibit Index commencing on page 31.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4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(a)</w:t>
            </w:r>
          </w:p>
        </w:tc>
        <w:tc>
          <w:tcPr>
            <w:tcW w:w="868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Exhibits</w:t>
            </w:r>
          </w:p>
        </w:tc>
      </w:tr>
      <w:tr>
        <w:trPr>
          <w:trHeight w:val="283"/>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660" w:type="dxa"/>
            <w:vAlign w:val="bottom"/>
          </w:tcPr>
          <w:p>
            <w:pPr>
              <w:spacing w:after="0"/>
              <w:rPr>
                <w:sz w:val="24"/>
                <w:szCs w:val="24"/>
                <w:color w:val="auto"/>
              </w:rPr>
            </w:pPr>
          </w:p>
        </w:tc>
        <w:tc>
          <w:tcPr>
            <w:tcW w:w="8020" w:type="dxa"/>
            <w:vAlign w:val="bottom"/>
            <w:gridSpan w:val="4"/>
          </w:tcPr>
          <w:p>
            <w:pPr>
              <w:spacing w:after="0"/>
              <w:rPr>
                <w:rFonts w:ascii="Times New Roman" w:cs="Times New Roman" w:eastAsia="Times New Roman" w:hAnsi="Times New Roman"/>
                <w:sz w:val="18"/>
                <w:szCs w:val="18"/>
                <w:color w:val="0000FF"/>
              </w:rPr>
            </w:pPr>
            <w:hyperlink r:id="rId496">
              <w:r>
                <w:rPr>
                  <w:rFonts w:ascii="Times New Roman" w:cs="Times New Roman" w:eastAsia="Times New Roman" w:hAnsi="Times New Roman"/>
                  <w:sz w:val="18"/>
                  <w:szCs w:val="18"/>
                  <w:color w:val="0000FF"/>
                </w:rPr>
                <w:t>Seventh Amended and Restated Certificate of Incorporation of NOV Inc. (1)</w:t>
              </w:r>
            </w:hyperlink>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250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24"/>
                <w:szCs w:val="24"/>
                <w:color w:val="auto"/>
              </w:rPr>
            </w:pPr>
          </w:p>
        </w:tc>
        <w:tc>
          <w:tcPr>
            <w:tcW w:w="8020" w:type="dxa"/>
            <w:vAlign w:val="bottom"/>
            <w:gridSpan w:val="4"/>
          </w:tcPr>
          <w:p>
            <w:pPr>
              <w:spacing w:after="0"/>
              <w:rPr>
                <w:rFonts w:ascii="Times New Roman" w:cs="Times New Roman" w:eastAsia="Times New Roman" w:hAnsi="Times New Roman"/>
                <w:sz w:val="18"/>
                <w:szCs w:val="18"/>
                <w:color w:val="0000FF"/>
              </w:rPr>
            </w:pPr>
            <w:hyperlink r:id="rId497">
              <w:r>
                <w:rPr>
                  <w:rFonts w:ascii="Times New Roman" w:cs="Times New Roman" w:eastAsia="Times New Roman" w:hAnsi="Times New Roman"/>
                  <w:sz w:val="18"/>
                  <w:szCs w:val="18"/>
                  <w:color w:val="0000FF"/>
                </w:rPr>
                <w:t>Amended and Restated Bylaws of NOV Inc. (2)</w:t>
              </w:r>
            </w:hyperlink>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EE"/>
            </w:tcBorders>
            <w:shd w:val="clear" w:color="auto" w:fill="0000FF"/>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(3)</w:t>
            </w:r>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5500" w:type="dxa"/>
            <w:vAlign w:val="bottom"/>
            <w:tcBorders>
              <w:right w:val="single" w:sz="8" w:color="0000FF"/>
            </w:tcBorders>
            <w:gridSpan w:val="2"/>
            <w:shd w:val="clear" w:color="auto" w:fill="0000FF"/>
          </w:tcPr>
          <w:p>
            <w:pPr>
              <w:spacing w:after="0" w:line="20" w:lineRule="exact"/>
              <w:rPr>
                <w:sz w:val="1"/>
                <w:szCs w:val="1"/>
                <w:color w:val="auto"/>
              </w:rPr>
            </w:pPr>
          </w:p>
        </w:tc>
        <w:tc>
          <w:tcPr>
            <w:tcW w:w="2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(3)</w:t>
            </w:r>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5500" w:type="dxa"/>
            <w:vAlign w:val="bottom"/>
            <w:tcBorders>
              <w:right w:val="single" w:sz="8" w:color="0000FF"/>
            </w:tcBorders>
            <w:gridSpan w:val="2"/>
            <w:shd w:val="clear" w:color="auto" w:fill="0000FF"/>
          </w:tcPr>
          <w:p>
            <w:pPr>
              <w:spacing w:after="0" w:line="20" w:lineRule="exact"/>
              <w:rPr>
                <w:sz w:val="1"/>
                <w:szCs w:val="1"/>
                <w:color w:val="auto"/>
              </w:rPr>
            </w:pPr>
          </w:p>
        </w:tc>
        <w:tc>
          <w:tcPr>
            <w:tcW w:w="25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(3)</w:t>
            </w:r>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5500" w:type="dxa"/>
            <w:vAlign w:val="bottom"/>
            <w:tcBorders>
              <w:right w:val="single" w:sz="8" w:color="0000EE"/>
            </w:tcBorders>
            <w:gridSpan w:val="2"/>
            <w:shd w:val="clear" w:color="auto" w:fill="0000FF"/>
          </w:tcPr>
          <w:p>
            <w:pPr>
              <w:spacing w:after="0" w:line="20" w:lineRule="exact"/>
              <w:rPr>
                <w:sz w:val="1"/>
                <w:szCs w:val="1"/>
                <w:color w:val="auto"/>
              </w:rPr>
            </w:pPr>
          </w:p>
        </w:tc>
        <w:tc>
          <w:tcPr>
            <w:tcW w:w="2520" w:type="dxa"/>
            <w:vAlign w:val="bottom"/>
            <w:gridSpan w:val="2"/>
          </w:tcPr>
          <w:p>
            <w:pPr>
              <w:spacing w:after="0" w:line="20" w:lineRule="exact"/>
              <w:rPr>
                <w:sz w:val="1"/>
                <w:szCs w:val="1"/>
                <w:color w:val="auto"/>
              </w:rPr>
            </w:pPr>
          </w:p>
        </w:tc>
      </w:tr>
      <w:tr>
        <w:trPr>
          <w:trHeight w:val="277"/>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660" w:type="dxa"/>
            <w:vAlign w:val="bottom"/>
          </w:tcPr>
          <w:p>
            <w:pPr>
              <w:spacing w:after="0"/>
              <w:rPr>
                <w:sz w:val="24"/>
                <w:szCs w:val="24"/>
                <w:color w:val="auto"/>
              </w:rPr>
            </w:pPr>
          </w:p>
        </w:tc>
        <w:tc>
          <w:tcPr>
            <w:tcW w:w="80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(3)</w:t>
            </w:r>
          </w:p>
        </w:tc>
      </w:tr>
      <w:tr>
        <w:trPr>
          <w:trHeight w:val="20"/>
        </w:trPr>
        <w:tc>
          <w:tcPr>
            <w:tcW w:w="36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3460" w:type="dxa"/>
            <w:vAlign w:val="bottom"/>
            <w:tcBorders>
              <w:right w:val="single" w:sz="8" w:color="0000FF"/>
            </w:tcBorders>
            <w:shd w:val="clear" w:color="auto" w:fill="0000FF"/>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0" w:lineRule="exact"/>
        <w:rPr>
          <w:sz w:val="20"/>
          <w:szCs w:val="20"/>
          <w:color w:val="auto"/>
        </w:rPr>
      </w:pPr>
    </w:p>
    <w:p>
      <w:pPr>
        <w:ind w:left="1000" w:hanging="992"/>
        <w:spacing w:after="0"/>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Information pursuant to section 1503 of the Dodd-Frank Act.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630555</wp:posOffset>
            </wp:positionH>
            <wp:positionV relativeFrom="paragraph">
              <wp:posOffset>-7620</wp:posOffset>
            </wp:positionV>
            <wp:extent cx="354711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3547110" cy="8255"/>
                    </a:xfrm>
                    <a:prstGeom prst="rect">
                      <a:avLst/>
                    </a:prstGeom>
                    <a:noFill/>
                  </pic:spPr>
                </pic:pic>
              </a:graphicData>
            </a:graphic>
          </wp:anchor>
        </w:drawing>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97"/>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90309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Compensatory plan or arrangement for management or others.</w:t>
      </w:r>
    </w:p>
    <w:p>
      <w:pPr>
        <w:spacing w:after="0" w:line="117"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our Current Report on Form 8-K filed on May 18, 2023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Exhibit 3.1 to our Current Report on Form 8-K filed on February 28, 2023.</w:t>
      </w:r>
    </w:p>
    <w:p>
      <w:pPr>
        <w:spacing w:after="0" w:line="117"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1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undertake, pursuant to Regulation S-K, Item 601(b), paragraph (4) (iii), to furnish to the U.S. Securities and Exchange Commission, upon request, all constituent instruments defining the rights of holders of our long-term debt not filed herewith.</w:t>
      </w: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54" w:lineRule="exact"/>
        <w:rPr>
          <w:sz w:val="20"/>
          <w:szCs w:val="20"/>
          <w:color w:val="auto"/>
        </w:rPr>
      </w:pPr>
    </w:p>
    <w:p>
      <w:pPr>
        <w:spacing w:after="0"/>
        <w:tabs>
          <w:tab w:leader="none" w:pos="5500" w:val="left"/>
          <w:tab w:leader="none" w:pos="6100" w:val="left"/>
        </w:tabs>
        <w:rPr>
          <w:sz w:val="20"/>
          <w:szCs w:val="20"/>
          <w:color w:val="auto"/>
        </w:rPr>
      </w:pPr>
      <w:r>
        <w:rPr>
          <w:rFonts w:ascii="Times New Roman" w:cs="Times New Roman" w:eastAsia="Times New Roman" w:hAnsi="Times New Roman"/>
          <w:sz w:val="18"/>
          <w:szCs w:val="18"/>
          <w:color w:val="auto"/>
        </w:rPr>
        <w:t>Date: October 28, 2026</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Christy H.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18415</wp:posOffset>
            </wp:positionV>
            <wp:extent cx="325755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23"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Christy H. Novak</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Vice President, Corporate Controller &amp; Chief Accounting Officer</w:t>
      </w:r>
    </w:p>
    <w:p>
      <w:pPr>
        <w:spacing w:after="0" w:line="9"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18"/>
          <w:szCs w:val="18"/>
          <w:color w:val="auto"/>
        </w:rPr>
        <w:t>(Duly Authorized Officer, Principal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 A. Bayardo,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firstLine="8"/>
        <w:spacing w:after="0" w:line="282" w:lineRule="auto"/>
        <w:tabs>
          <w:tab w:leader="none" w:pos="18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Jose A. Bayardo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Chairman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Rodney C. Reed, certify that:</w:t>
      </w:r>
    </w:p>
    <w:p>
      <w:pPr>
        <w:spacing w:after="0" w:line="225" w:lineRule="exact"/>
        <w:rPr>
          <w:sz w:val="20"/>
          <w:szCs w:val="20"/>
          <w:color w:val="auto"/>
        </w:rPr>
      </w:pPr>
    </w:p>
    <w:p>
      <w:pPr>
        <w:ind w:left="180" w:hanging="172"/>
        <w:spacing w:after="0"/>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1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firstLine="8"/>
        <w:spacing w:after="0" w:line="266" w:lineRule="auto"/>
        <w:tabs>
          <w:tab w:leader="none" w:pos="1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2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1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firstLine="8"/>
        <w:spacing w:after="0" w:line="282"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2" w:lineRule="exact"/>
        <w:rPr>
          <w:sz w:val="20"/>
          <w:szCs w:val="20"/>
          <w:color w:val="auto"/>
        </w:rPr>
      </w:pPr>
    </w:p>
    <w:p>
      <w:pPr>
        <w:ind w:firstLine="8"/>
        <w:spacing w:after="0" w:line="282" w:lineRule="auto"/>
        <w:tabs>
          <w:tab w:leader="none" w:pos="18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28, 2026</w:t>
      </w:r>
    </w:p>
    <w:p>
      <w:pPr>
        <w:spacing w:after="0" w:line="25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Rodney C. 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Rodney C. Reed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September 30, 2026 as filed with the Securities and Exchange Commission on the date hereof (the “Report”), the undersigned, Jose A. Bayardo, Chairman and Chief Executive Officer of the Company, hereby certifies, pursuant to 18 U.S.C. Section 1350, as adopted pursuant to Section 906 of the Sarbanes-Oxley Act of 2002, that:</w:t>
      </w:r>
    </w:p>
    <w:p>
      <w:pPr>
        <w:spacing w:after="0" w:line="176"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15" w:lineRule="auto"/>
        <w:tabs>
          <w:tab w:leader="none" w:pos="2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Jose A. Bayardo</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Jose A. Bayardo</w:t>
            </w:r>
          </w:p>
        </w:tc>
        <w:tc>
          <w:tcPr>
            <w:tcW w:w="5620" w:type="dxa"/>
            <w:vAlign w:val="bottom"/>
          </w:tcPr>
          <w:p>
            <w:pPr>
              <w:spacing w:after="0"/>
              <w:rPr>
                <w:sz w:val="16"/>
                <w:szCs w:val="16"/>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Chairman and Chief Executive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2026</w:t>
            </w:r>
          </w:p>
        </w:tc>
      </w:tr>
      <w:tr>
        <w:trPr>
          <w:trHeight w:val="979"/>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5" w:name="page36"/>
    <w:bookmarkEnd w:id="3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September 30, 2026 as filed with the Securities and Exchange Commission on the date hereof (the “Report”), the undersigned, Rodney C. Reed, Senior Vice President and Chief Financial Officer of the Company, hereby certifies, pursuant to 18 U.S.C. Section 1350, as adopted pursuant to Section 906 of the Sarbanes-Oxley Act of 2002, that:</w:t>
      </w:r>
    </w:p>
    <w:p>
      <w:pPr>
        <w:spacing w:after="0" w:line="176" w:lineRule="exact"/>
        <w:rPr>
          <w:sz w:val="20"/>
          <w:szCs w:val="20"/>
          <w:color w:val="auto"/>
        </w:rPr>
      </w:pPr>
    </w:p>
    <w:p>
      <w:pPr>
        <w:ind w:left="220" w:hanging="212"/>
        <w:spacing w:after="0"/>
        <w:tabs>
          <w:tab w:leader="none" w:pos="2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520" w:firstLine="8"/>
        <w:spacing w:after="0" w:line="515" w:lineRule="auto"/>
        <w:tabs>
          <w:tab w:leader="none" w:pos="2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By:</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/s/ Rodney C. Reed</w:t>
            </w:r>
          </w:p>
        </w:tc>
      </w:tr>
      <w:tr>
        <w:trPr>
          <w:trHeight w:val="191"/>
        </w:trPr>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Rodney C. Reed</w:t>
            </w:r>
          </w:p>
        </w:tc>
        <w:tc>
          <w:tcPr>
            <w:tcW w:w="5620" w:type="dxa"/>
            <w:vAlign w:val="bottom"/>
          </w:tcPr>
          <w:p>
            <w:pPr>
              <w:spacing w:after="0"/>
              <w:rPr>
                <w:sz w:val="16"/>
                <w:szCs w:val="16"/>
                <w:color w:val="auto"/>
              </w:rPr>
            </w:pP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10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October 28, 2026</w:t>
            </w:r>
          </w:p>
        </w:tc>
      </w:tr>
      <w:tr>
        <w:trPr>
          <w:trHeight w:val="979"/>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6" w:name="page37"/>
    <w:bookmarkEnd w:id="36"/>
    <w:p>
      <w:pPr>
        <w:ind w:left="1040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Mine Safety Disclosures</w:t>
      </w:r>
    </w:p>
    <w:p>
      <w:pPr>
        <w:spacing w:after="0" w:line="2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mines are operated subject to the regulation of the Federal Mine Safety and Health Administration (“MSHA”), under the Federal Mine Safety and Health Act of 1977 (the “Mine Act”). The following mine safety data is provided pursuant to the Dodd-Frank Wall Street Reform and Consumer Protection Act (the “Dodd-Frank Act”).</w:t>
      </w:r>
    </w:p>
    <w:p>
      <w:pPr>
        <w:spacing w:after="0" w:line="186"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required by the reporting requirements of the Dodd-Frank Act, as amended, the table below presents the following information for the quarter ended September 30, 2026. (in whole dollars) (Unaudited)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7"/>
              </w:rPr>
              <w:t>Received</w:t>
            </w: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1"/>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Notice</w:t>
            </w:r>
          </w:p>
        </w:tc>
        <w:tc>
          <w:tcPr>
            <w:tcW w:w="1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Received</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86"/>
              </w:rPr>
              <w:t>of</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Legal</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Total</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Notice of</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Potential</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Actions</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22"/>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1"/>
                <w:szCs w:val="11"/>
                <w:color w:val="auto"/>
                <w:w w:val="96"/>
              </w:rPr>
              <w:t>Total Dollar</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Number</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7"/>
              </w:rPr>
              <w:t>Pattern of</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to have</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Pending</w:t>
            </w: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Legal</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Legal</w:t>
            </w:r>
          </w:p>
        </w:tc>
      </w:tr>
      <w:tr>
        <w:trPr>
          <w:trHeight w:val="122"/>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104(d)</w:t>
            </w:r>
          </w:p>
        </w:tc>
        <w:tc>
          <w:tcPr>
            <w:tcW w:w="1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1"/>
                <w:szCs w:val="11"/>
                <w:color w:val="auto"/>
                <w:w w:val="94"/>
              </w:rPr>
              <w:t>Value of</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of</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Violations</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Patterns</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as of</w:t>
            </w: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Actions</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Actions</w:t>
            </w:r>
          </w:p>
        </w:tc>
      </w:tr>
      <w:tr>
        <w:trPr>
          <w:trHeight w:val="121"/>
        </w:trPr>
        <w:tc>
          <w:tcPr>
            <w:tcW w:w="2080" w:type="dxa"/>
            <w:vAlign w:val="bottom"/>
          </w:tcPr>
          <w:p>
            <w:pPr>
              <w:spacing w:after="0"/>
              <w:rPr>
                <w:sz w:val="10"/>
                <w:szCs w:val="10"/>
                <w:color w:val="auto"/>
              </w:rPr>
            </w:pPr>
          </w:p>
        </w:tc>
        <w:tc>
          <w:tcPr>
            <w:tcW w:w="760" w:type="dxa"/>
            <w:vAlign w:val="bottom"/>
            <w:gridSpan w:val="2"/>
          </w:tcPr>
          <w:p>
            <w:pPr>
              <w:jc w:val="center"/>
              <w:ind w:left="66"/>
              <w:spacing w:after="0" w:line="122" w:lineRule="exact"/>
              <w:rPr>
                <w:sz w:val="20"/>
                <w:szCs w:val="20"/>
                <w:color w:val="auto"/>
              </w:rPr>
            </w:pPr>
            <w:r>
              <w:rPr>
                <w:rFonts w:ascii="Times New Roman" w:cs="Times New Roman" w:eastAsia="Times New Roman" w:hAnsi="Times New Roman"/>
                <w:sz w:val="11"/>
                <w:szCs w:val="11"/>
                <w:color w:val="auto"/>
                <w:w w:val="96"/>
              </w:rPr>
              <w:t>104</w:t>
            </w:r>
          </w:p>
        </w:tc>
        <w:tc>
          <w:tcPr>
            <w:tcW w:w="1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Citations</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Section</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1"/>
                <w:szCs w:val="11"/>
                <w:color w:val="auto"/>
              </w:rPr>
              <w:t>MSHA</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2"/>
              </w:rPr>
              <w:t>Mining</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Under</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Under</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Last</w:t>
            </w: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8"/>
              </w:rPr>
              <w:t>Initiated</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Resolved</w:t>
            </w:r>
          </w:p>
        </w:tc>
      </w:tr>
      <w:tr>
        <w:trPr>
          <w:trHeight w:val="122"/>
        </w:trPr>
        <w:tc>
          <w:tcPr>
            <w:tcW w:w="2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S&amp;S</w:t>
            </w:r>
          </w:p>
        </w:tc>
        <w:tc>
          <w:tcPr>
            <w:tcW w:w="1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5"/>
              </w:rPr>
              <w:t>104(b)</w:t>
            </w:r>
          </w:p>
        </w:tc>
        <w:tc>
          <w:tcPr>
            <w:tcW w:w="120" w:type="dxa"/>
            <w:vAlign w:val="bottom"/>
          </w:tcPr>
          <w:p>
            <w:pPr>
              <w:spacing w:after="0"/>
              <w:rPr>
                <w:sz w:val="10"/>
                <w:szCs w:val="10"/>
                <w:color w:val="auto"/>
              </w:rPr>
            </w:pPr>
          </w:p>
        </w:tc>
        <w:tc>
          <w:tcPr>
            <w:tcW w:w="6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87"/>
              </w:rPr>
              <w:t>and</w:t>
            </w:r>
          </w:p>
        </w:tc>
        <w:tc>
          <w:tcPr>
            <w:tcW w:w="120" w:type="dxa"/>
            <w:vAlign w:val="bottom"/>
          </w:tcPr>
          <w:p>
            <w:pPr>
              <w:spacing w:after="0"/>
              <w:rPr>
                <w:sz w:val="10"/>
                <w:szCs w:val="10"/>
                <w:color w:val="auto"/>
              </w:rPr>
            </w:pPr>
          </w:p>
        </w:tc>
        <w:tc>
          <w:tcPr>
            <w:tcW w:w="7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4"/>
              </w:rPr>
              <w:t>110(b)(2)</w:t>
            </w:r>
          </w:p>
        </w:tc>
        <w:tc>
          <w:tcPr>
            <w:tcW w:w="120" w:type="dxa"/>
            <w:vAlign w:val="bottom"/>
          </w:tcPr>
          <w:p>
            <w:pPr>
              <w:spacing w:after="0"/>
              <w:rPr>
                <w:sz w:val="10"/>
                <w:szCs w:val="10"/>
                <w:color w:val="auto"/>
              </w:rPr>
            </w:pPr>
          </w:p>
        </w:tc>
        <w:tc>
          <w:tcPr>
            <w:tcW w:w="5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107(a)</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jc w:val="center"/>
              <w:ind w:right="43"/>
              <w:spacing w:after="0" w:line="122" w:lineRule="exact"/>
              <w:rPr>
                <w:sz w:val="20"/>
                <w:szCs w:val="20"/>
                <w:color w:val="auto"/>
              </w:rPr>
            </w:pPr>
            <w:r>
              <w:rPr>
                <w:rFonts w:ascii="Times New Roman" w:cs="Times New Roman" w:eastAsia="Times New Roman" w:hAnsi="Times New Roman"/>
                <w:sz w:val="11"/>
                <w:szCs w:val="11"/>
                <w:color w:val="auto"/>
                <w:w w:val="99"/>
              </w:rPr>
              <w:t>Assessments</w:t>
            </w:r>
          </w:p>
        </w:tc>
        <w:tc>
          <w:tcPr>
            <w:tcW w:w="2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rPr>
              <w:t>Related</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0"/>
                <w:szCs w:val="10"/>
                <w:color w:val="auto"/>
              </w:rPr>
            </w:pPr>
          </w:p>
        </w:tc>
        <w:tc>
          <w:tcPr>
            <w:tcW w:w="6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Section</w:t>
            </w:r>
          </w:p>
        </w:tc>
        <w:tc>
          <w:tcPr>
            <w:tcW w:w="120" w:type="dxa"/>
            <w:vAlign w:val="bottom"/>
          </w:tcPr>
          <w:p>
            <w:pPr>
              <w:spacing w:after="0"/>
              <w:rPr>
                <w:sz w:val="10"/>
                <w:szCs w:val="10"/>
                <w:color w:val="auto"/>
              </w:rPr>
            </w:pPr>
          </w:p>
        </w:tc>
        <w:tc>
          <w:tcPr>
            <w:tcW w:w="54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9"/>
              </w:rPr>
              <w:t>Day of</w:t>
            </w:r>
          </w:p>
        </w:tc>
        <w:tc>
          <w:tcPr>
            <w:tcW w:w="120" w:type="dxa"/>
            <w:vAlign w:val="bottom"/>
          </w:tcPr>
          <w:p>
            <w:pPr>
              <w:spacing w:after="0"/>
              <w:rPr>
                <w:sz w:val="10"/>
                <w:szCs w:val="10"/>
                <w:color w:val="auto"/>
              </w:rPr>
            </w:pPr>
          </w:p>
        </w:tc>
        <w:tc>
          <w:tcPr>
            <w:tcW w:w="56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During</w:t>
            </w:r>
          </w:p>
        </w:tc>
        <w:tc>
          <w:tcPr>
            <w:tcW w:w="120" w:type="dxa"/>
            <w:vAlign w:val="bottom"/>
          </w:tcPr>
          <w:p>
            <w:pPr>
              <w:spacing w:after="0"/>
              <w:rPr>
                <w:sz w:val="10"/>
                <w:szCs w:val="10"/>
                <w:color w:val="auto"/>
              </w:rPr>
            </w:pPr>
          </w:p>
        </w:tc>
        <w:tc>
          <w:tcPr>
            <w:tcW w:w="7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color w:val="auto"/>
                <w:w w:val="96"/>
              </w:rPr>
              <w:t>During</w:t>
            </w:r>
          </w:p>
        </w:tc>
      </w:tr>
      <w:tr>
        <w:trPr>
          <w:trHeight w:val="135"/>
        </w:trPr>
        <w:tc>
          <w:tcPr>
            <w:tcW w:w="2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1"/>
                <w:szCs w:val="11"/>
                <w:color w:val="auto"/>
              </w:rPr>
              <w:t>Mine</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Citations</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spacing w:after="0"/>
              <w:rPr>
                <w:sz w:val="11"/>
                <w:szCs w:val="11"/>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20" w:type="dxa"/>
            <w:vAlign w:val="bottom"/>
          </w:tcPr>
          <w:p>
            <w:pPr>
              <w:spacing w:after="0"/>
              <w:rPr>
                <w:sz w:val="11"/>
                <w:szCs w:val="11"/>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5"/>
              </w:rPr>
              <w:t>Violations</w:t>
            </w:r>
          </w:p>
        </w:tc>
        <w:tc>
          <w:tcPr>
            <w:tcW w:w="120" w:type="dxa"/>
            <w:vAlign w:val="bottom"/>
          </w:tcPr>
          <w:p>
            <w:pPr>
              <w:spacing w:after="0"/>
              <w:rPr>
                <w:sz w:val="11"/>
                <w:szCs w:val="1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Orders</w:t>
            </w:r>
          </w:p>
        </w:tc>
        <w:tc>
          <w:tcPr>
            <w:tcW w:w="1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color w:val="auto"/>
                <w:w w:val="97"/>
              </w:rPr>
              <w:t>Proposed</w:t>
            </w:r>
          </w:p>
        </w:tc>
        <w:tc>
          <w:tcPr>
            <w:tcW w:w="2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4"/>
              </w:rPr>
              <w:t>Fatalities</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104(e)</w:t>
            </w:r>
          </w:p>
        </w:tc>
        <w:tc>
          <w:tcPr>
            <w:tcW w:w="120" w:type="dxa"/>
            <w:vAlign w:val="bottom"/>
          </w:tcPr>
          <w:p>
            <w:pPr>
              <w:spacing w:after="0"/>
              <w:rPr>
                <w:sz w:val="11"/>
                <w:szCs w:val="1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104(e)</w:t>
            </w:r>
          </w:p>
        </w:tc>
        <w:tc>
          <w:tcPr>
            <w:tcW w:w="120" w:type="dxa"/>
            <w:vAlign w:val="bottom"/>
          </w:tcPr>
          <w:p>
            <w:pPr>
              <w:spacing w:after="0"/>
              <w:rPr>
                <w:sz w:val="11"/>
                <w:szCs w:val="11"/>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120" w:type="dxa"/>
            <w:vAlign w:val="bottom"/>
          </w:tcPr>
          <w:p>
            <w:pPr>
              <w:spacing w:after="0"/>
              <w:rPr>
                <w:sz w:val="11"/>
                <w:szCs w:val="1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Period</w:t>
            </w:r>
          </w:p>
        </w:tc>
        <w:tc>
          <w:tcPr>
            <w:tcW w:w="120" w:type="dxa"/>
            <w:vAlign w:val="bottom"/>
          </w:tcPr>
          <w:p>
            <w:pPr>
              <w:spacing w:after="0"/>
              <w:rPr>
                <w:sz w:val="11"/>
                <w:szCs w:val="11"/>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rPr>
              <w:t>Period</w:t>
            </w:r>
          </w:p>
        </w:tc>
      </w:tr>
      <w:tr>
        <w:trPr>
          <w:trHeight w:val="129"/>
        </w:trPr>
        <w:tc>
          <w:tcPr>
            <w:tcW w:w="20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color w:val="auto"/>
              </w:rPr>
              <w:t>Dry Creek (26-02646)</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ind w:left="5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740" w:type="dxa"/>
            <w:vAlign w:val="bottom"/>
            <w:shd w:val="clear" w:color="auto" w:fill="CFF0FC"/>
          </w:tcPr>
          <w:p>
            <w:pPr>
              <w:ind w:left="6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520" w:type="dxa"/>
            <w:vAlign w:val="bottom"/>
            <w:shd w:val="clear" w:color="auto" w:fill="CFF0FC"/>
          </w:tcPr>
          <w:p>
            <w:pPr>
              <w:ind w:left="3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shd w:val="clear" w:color="auto" w:fill="CFF0FC"/>
          </w:tcPr>
          <w:p>
            <w:pPr>
              <w:jc w:val="right"/>
              <w:ind w:right="40"/>
              <w:spacing w:after="0" w:line="129" w:lineRule="exact"/>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shd w:val="clear" w:color="auto" w:fill="CFF0FC"/>
          </w:tcPr>
          <w:p>
            <w:pPr>
              <w:spacing w:after="0"/>
              <w:rPr>
                <w:sz w:val="11"/>
                <w:szCs w:val="11"/>
                <w:color w:val="auto"/>
              </w:rPr>
            </w:pPr>
          </w:p>
        </w:tc>
        <w:tc>
          <w:tcPr>
            <w:tcW w:w="620" w:type="dxa"/>
            <w:vAlign w:val="bottom"/>
            <w:shd w:val="clear" w:color="auto" w:fill="CFF0FC"/>
          </w:tcPr>
          <w:p>
            <w:pPr>
              <w:ind w:left="48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shd w:val="clear" w:color="auto" w:fill="CFF0FC"/>
          </w:tcPr>
          <w:p>
            <w:pPr>
              <w:spacing w:after="0"/>
              <w:rPr>
                <w:sz w:val="11"/>
                <w:szCs w:val="11"/>
                <w:color w:val="auto"/>
              </w:rPr>
            </w:pPr>
          </w:p>
        </w:tc>
        <w:tc>
          <w:tcPr>
            <w:tcW w:w="620" w:type="dxa"/>
            <w:vAlign w:val="bottom"/>
            <w:shd w:val="clear" w:color="auto" w:fill="CFF0FC"/>
          </w:tcPr>
          <w:p>
            <w:pPr>
              <w:ind w:left="480"/>
              <w:spacing w:after="0" w:line="129" w:lineRule="exact"/>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shd w:val="clear" w:color="auto" w:fill="CFF0FC"/>
          </w:tcPr>
          <w:p>
            <w:pPr>
              <w:spacing w:after="0"/>
              <w:rPr>
                <w:sz w:val="11"/>
                <w:szCs w:val="11"/>
                <w:color w:val="auto"/>
              </w:rPr>
            </w:pPr>
          </w:p>
        </w:tc>
        <w:tc>
          <w:tcPr>
            <w:tcW w:w="540" w:type="dxa"/>
            <w:vAlign w:val="bottom"/>
            <w:shd w:val="clear" w:color="auto" w:fill="CFF0FC"/>
          </w:tcPr>
          <w:p>
            <w:pPr>
              <w:ind w:left="40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560" w:type="dxa"/>
            <w:vAlign w:val="bottom"/>
            <w:shd w:val="clear" w:color="auto" w:fill="CFF0FC"/>
          </w:tcPr>
          <w:p>
            <w:pPr>
              <w:ind w:left="420"/>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ind w:left="580"/>
              <w:spacing w:after="0" w:line="129" w:lineRule="exact"/>
              <w:rPr>
                <w:sz w:val="20"/>
                <w:szCs w:val="20"/>
                <w:color w:val="auto"/>
              </w:rPr>
            </w:pPr>
            <w:r>
              <w:rPr>
                <w:rFonts w:ascii="Times New Roman" w:cs="Times New Roman" w:eastAsia="Times New Roman" w:hAnsi="Times New Roman"/>
                <w:sz w:val="13"/>
                <w:szCs w:val="13"/>
                <w:color w:val="auto"/>
                <w:w w:val="91"/>
              </w:rPr>
              <w:t>—</w:t>
            </w:r>
          </w:p>
        </w:tc>
      </w:tr>
      <w:tr>
        <w:trPr>
          <w:trHeight w:val="164"/>
        </w:trPr>
        <w:tc>
          <w:tcPr>
            <w:tcW w:w="2080" w:type="dxa"/>
            <w:vAlign w:val="bottom"/>
          </w:tcPr>
          <w:p>
            <w:pPr>
              <w:spacing w:after="0"/>
              <w:rPr>
                <w:sz w:val="20"/>
                <w:szCs w:val="20"/>
                <w:color w:val="auto"/>
              </w:rPr>
            </w:pPr>
            <w:r>
              <w:rPr>
                <w:rFonts w:ascii="Times New Roman" w:cs="Times New Roman" w:eastAsia="Times New Roman" w:hAnsi="Times New Roman"/>
                <w:sz w:val="13"/>
                <w:szCs w:val="13"/>
                <w:color w:val="auto"/>
              </w:rPr>
              <w:t>Osino Barite Mill (26-02724)</w:t>
            </w:r>
          </w:p>
        </w:tc>
        <w:tc>
          <w:tcPr>
            <w:tcW w:w="12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740" w:type="dxa"/>
            <w:vAlign w:val="bottom"/>
          </w:tcPr>
          <w:p>
            <w:pPr>
              <w:ind w:left="6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20" w:type="dxa"/>
            <w:vAlign w:val="bottom"/>
          </w:tcPr>
          <w:p>
            <w:pPr>
              <w:ind w:left="380"/>
              <w:spacing w:after="0"/>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76"/>
              </w:rPr>
              <w:t>—</w:t>
            </w:r>
          </w:p>
        </w:tc>
        <w:tc>
          <w:tcPr>
            <w:tcW w:w="22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tcPr>
          <w:p>
            <w:pPr>
              <w:spacing w:after="0"/>
              <w:rPr>
                <w:sz w:val="14"/>
                <w:szCs w:val="1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13"/>
                <w:szCs w:val="13"/>
                <w:color w:val="auto"/>
                <w:w w:val="91"/>
              </w:rPr>
              <w:t>no</w:t>
            </w:r>
          </w:p>
        </w:tc>
        <w:tc>
          <w:tcPr>
            <w:tcW w:w="120" w:type="dxa"/>
            <w:vAlign w:val="bottom"/>
          </w:tcPr>
          <w:p>
            <w:pPr>
              <w:spacing w:after="0"/>
              <w:rPr>
                <w:sz w:val="14"/>
                <w:szCs w:val="14"/>
                <w:color w:val="auto"/>
              </w:rPr>
            </w:pPr>
          </w:p>
        </w:tc>
        <w:tc>
          <w:tcPr>
            <w:tcW w:w="540" w:type="dxa"/>
            <w:vAlign w:val="bottom"/>
          </w:tcPr>
          <w:p>
            <w:pPr>
              <w:ind w:left="4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4"/>
                <w:szCs w:val="14"/>
                <w:color w:val="auto"/>
              </w:rPr>
            </w:pP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r>
      <w:tr>
        <w:trPr>
          <w:trHeight w:val="1436"/>
        </w:trPr>
        <w:tc>
          <w:tcPr>
            <w:tcW w:w="2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1)"/>
      <w:numFmt w:val="decimal"/>
      <w:start w:val="1"/>
    </w:lvl>
  </w:abstractNum>
  <w:abstractNum w:abstractNumId="5">
    <w:nsid w:val="1190CDE7"/>
    <w:multiLevelType w:val="hybridMultilevel"/>
    <w:lvl w:ilvl="0">
      <w:lvlJc w:val="left"/>
      <w:lvlText w:val="%1"/>
      <w:numFmt w:val="decimal"/>
      <w:start w:val="95"/>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lowerLetter"/>
      <w:start w:val="1"/>
    </w:lvl>
  </w:abstractNum>
  <w:abstractNum w:abstractNumId="9">
    <w:nsid w:val="109CF92E"/>
    <w:multiLevelType w:val="hybridMultilevel"/>
    <w:lvl w:ilvl="0">
      <w:lvlJc w:val="left"/>
      <w:lvlText w:val="%1."/>
      <w:numFmt w:val="decimal"/>
      <w:start w:val="5"/>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5"/>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lowerRoman"/>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jpe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496" Type="http://schemas.openxmlformats.org/officeDocument/2006/relationships/hyperlink" Target="https://www.sec.gov/Archives/edgar/data/1021860/000119312523148208/d460588dex31.htm" TargetMode="External"/><Relationship Id="rId497" Type="http://schemas.openxmlformats.org/officeDocument/2006/relationships/hyperlink" Target="https://www.sec.gov/Archives/edgar/data/1021860/000119312523053963/d443168d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2026-10-28T12:13:55Z</dcterms:created>
  <dcterms:modified xsi:type="dcterms:W3CDTF">2026-10-28T12:13:55Z</dcterms:modified>
</cp:coreProperties>
</file>