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NOV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401"/>
              <w:spacing w:after="0"/>
              <w:rPr>
                <w:sz w:val="20"/>
                <w:szCs w:val="20"/>
                <w:color w:val="auto"/>
              </w:rPr>
            </w:pPr>
            <w:r>
              <w:rPr>
                <w:rFonts w:ascii="Times New Roman" w:cs="Times New Roman" w:eastAsia="Times New Roman" w:hAnsi="Times New Roman"/>
                <w:sz w:val="18"/>
                <w:szCs w:val="18"/>
                <w:b w:val="1"/>
                <w:bCs w:val="1"/>
                <w:color w:val="auto"/>
              </w:rPr>
              <w:t>1-12317</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76-0475815</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10353 Richmond Ave.</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Houston, Texas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77042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346 223-3000</w:t>
      </w: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NOV</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May 20, 2026, NOV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held its Annual Meeting of Stockholders at which the following matters were voted upon and approved by the Company’s stockholders:</w:t>
      </w:r>
    </w:p>
    <w:p>
      <w:pPr>
        <w:spacing w:after="0" w:line="162" w:lineRule="exact"/>
        <w:rPr>
          <w:sz w:val="20"/>
          <w:szCs w:val="20"/>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nine members to the Board of Directors;</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Ernst &amp; Young LLP as the Company’s independent auditor for 2026; and</w:t>
      </w:r>
    </w:p>
    <w:p>
      <w:pPr>
        <w:spacing w:after="0" w:line="225"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the compensation of the Company’s named executive officers.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voting results for each matter presented to the Company’s stockholders: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080" w:type="dxa"/>
            <w:vAlign w:val="bottom"/>
            <w:gridSpan w:val="2"/>
            <w:vMerge w:val="restart"/>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22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122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28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BROKER NON-</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120"/>
              <w:spacing w:after="0" w:line="196" w:lineRule="exact"/>
              <w:rPr>
                <w:sz w:val="20"/>
                <w:szCs w:val="20"/>
                <w:color w:val="auto"/>
              </w:rPr>
            </w:pPr>
            <w:r>
              <w:rPr>
                <w:rFonts w:ascii="Times New Roman" w:cs="Times New Roman" w:eastAsia="Times New Roman" w:hAnsi="Times New Roman"/>
                <w:sz w:val="18"/>
                <w:szCs w:val="18"/>
                <w:color w:val="auto"/>
              </w:rPr>
              <w:t>1. Election of directors:</w:t>
            </w:r>
          </w:p>
        </w:tc>
        <w:tc>
          <w:tcPr>
            <w:tcW w:w="228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1500" w:type="dxa"/>
            <w:vAlign w:val="bottom"/>
            <w:gridSpan w:val="4"/>
          </w:tcPr>
          <w:p>
            <w:pPr>
              <w:jc w:val="right"/>
              <w:ind w:right="560"/>
              <w:spacing w:after="0" w:line="196" w:lineRule="exact"/>
              <w:rPr>
                <w:sz w:val="20"/>
                <w:szCs w:val="20"/>
                <w:color w:val="auto"/>
              </w:rPr>
            </w:pPr>
            <w:r>
              <w:rPr>
                <w:rFonts w:ascii="Times New Roman" w:cs="Times New Roman" w:eastAsia="Times New Roman" w:hAnsi="Times New Roman"/>
                <w:sz w:val="18"/>
                <w:szCs w:val="18"/>
                <w:b w:val="1"/>
                <w:bCs w:val="1"/>
                <w:color w:val="auto"/>
              </w:rPr>
              <w:t>VOTES</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Jose A. Bayardo</w:t>
            </w:r>
          </w:p>
        </w:tc>
        <w:tc>
          <w:tcPr>
            <w:tcW w:w="336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314,865,718</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5,039,993</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87,694</w:t>
            </w:r>
          </w:p>
        </w:tc>
        <w:tc>
          <w:tcPr>
            <w:tcW w:w="1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Sanjay K. Chowbey</w:t>
            </w:r>
          </w:p>
        </w:tc>
        <w:tc>
          <w:tcPr>
            <w:tcW w:w="33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319,458,446</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420,126</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114,833</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Marcela E. Donadio</w:t>
            </w:r>
          </w:p>
        </w:tc>
        <w:tc>
          <w:tcPr>
            <w:tcW w:w="336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313,999,052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5,887,945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106,408</w:t>
            </w:r>
          </w:p>
        </w:tc>
        <w:tc>
          <w:tcPr>
            <w:tcW w:w="1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David D. Harrison</w:t>
            </w:r>
          </w:p>
        </w:tc>
        <w:tc>
          <w:tcPr>
            <w:tcW w:w="33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311,370,833</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8,488,188</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134,384</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Christian S. Kendall</w:t>
            </w:r>
          </w:p>
        </w:tc>
        <w:tc>
          <w:tcPr>
            <w:tcW w:w="336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318,877,381</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1,025,815</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90,209</w:t>
            </w:r>
          </w:p>
        </w:tc>
        <w:tc>
          <w:tcPr>
            <w:tcW w:w="1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Patricia Martinez</w:t>
            </w:r>
          </w:p>
        </w:tc>
        <w:tc>
          <w:tcPr>
            <w:tcW w:w="33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318,316,684</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1,520,411</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156,310</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Patricia B. Melcher</w:t>
            </w:r>
          </w:p>
        </w:tc>
        <w:tc>
          <w:tcPr>
            <w:tcW w:w="336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319,494,718</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403,167</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95,520</w:t>
            </w:r>
          </w:p>
        </w:tc>
        <w:tc>
          <w:tcPr>
            <w:tcW w:w="1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William R. Thomas</w:t>
            </w:r>
          </w:p>
        </w:tc>
        <w:tc>
          <w:tcPr>
            <w:tcW w:w="3360" w:type="dxa"/>
            <w:vAlign w:val="bottom"/>
            <w:gridSpan w:val="3"/>
          </w:tcPr>
          <w:p>
            <w:pPr>
              <w:jc w:val="center"/>
              <w:ind w:left="1490"/>
              <w:spacing w:after="0"/>
              <w:rPr>
                <w:sz w:val="20"/>
                <w:szCs w:val="20"/>
                <w:color w:val="auto"/>
              </w:rPr>
            </w:pPr>
            <w:r>
              <w:rPr>
                <w:rFonts w:ascii="Times New Roman" w:cs="Times New Roman" w:eastAsia="Times New Roman" w:hAnsi="Times New Roman"/>
                <w:sz w:val="18"/>
                <w:szCs w:val="18"/>
                <w:color w:val="auto"/>
                <w:w w:val="99"/>
              </w:rPr>
              <w:t>318,132,659</w:t>
            </w: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1,770,354</w:t>
            </w:r>
          </w:p>
        </w:tc>
        <w:tc>
          <w:tcPr>
            <w:tcW w:w="12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90,392</w:t>
            </w:r>
          </w:p>
        </w:tc>
        <w:tc>
          <w:tcPr>
            <w:tcW w:w="15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Robert S. Welborn</w:t>
            </w:r>
          </w:p>
        </w:tc>
        <w:tc>
          <w:tcPr>
            <w:tcW w:w="3360" w:type="dxa"/>
            <w:vAlign w:val="bottom"/>
            <w:gridSpan w:val="3"/>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301,248,642</w:t>
            </w:r>
          </w:p>
        </w:tc>
        <w:tc>
          <w:tcPr>
            <w:tcW w:w="12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18,651,008</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93,755</w:t>
            </w:r>
          </w:p>
        </w:tc>
        <w:tc>
          <w:tcPr>
            <w:tcW w:w="15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nine directors nominated by the Board of Directors (the "</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were re-elected to serve one-year terms until the annual meeting in 2027. There were no nominees to office other than the directors elected.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12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2. Ratification of the appointment of Ernst &amp; Young LLP as the</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Company’s independent auditor for 2026</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319,823,883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17,723,471</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114,550</w:t>
            </w:r>
          </w:p>
        </w:tc>
        <w:tc>
          <w:tcPr>
            <w:tcW w:w="1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567"/>
        </w:trPr>
        <w:tc>
          <w:tcPr>
            <w:tcW w:w="5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w w:val="94"/>
              </w:rPr>
              <w:t>FOR</w:t>
            </w:r>
          </w:p>
        </w:tc>
        <w:tc>
          <w:tcPr>
            <w:tcW w:w="12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w w:val="97"/>
              </w:rPr>
              <w:t>AGAINST</w:t>
            </w:r>
          </w:p>
        </w:tc>
        <w:tc>
          <w:tcPr>
            <w:tcW w:w="120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w w:val="97"/>
              </w:rPr>
              <w:t>ABSTAIN</w:t>
            </w:r>
          </w:p>
        </w:tc>
        <w:tc>
          <w:tcPr>
            <w:tcW w:w="14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BROKER NON-</w:t>
            </w:r>
          </w:p>
        </w:tc>
        <w:tc>
          <w:tcPr>
            <w:tcW w:w="0" w:type="dxa"/>
            <w:vAlign w:val="bottom"/>
          </w:tcPr>
          <w:p>
            <w:pPr>
              <w:spacing w:after="0"/>
              <w:rPr>
                <w:sz w:val="1"/>
                <w:szCs w:val="1"/>
                <w:color w:val="auto"/>
              </w:rPr>
            </w:pPr>
          </w:p>
        </w:tc>
      </w:tr>
      <w:tr>
        <w:trPr>
          <w:trHeight w:val="196"/>
        </w:trPr>
        <w:tc>
          <w:tcPr>
            <w:tcW w:w="5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80" w:type="dxa"/>
            <w:vAlign w:val="bottom"/>
            <w:gridSpan w:val="2"/>
            <w:vMerge w:val="continue"/>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1200" w:type="dxa"/>
            <w:vAlign w:val="bottom"/>
            <w:gridSpan w:val="2"/>
            <w:vMerge w:val="continue"/>
          </w:tcPr>
          <w:p>
            <w:pPr>
              <w:spacing w:after="0"/>
              <w:rPr>
                <w:sz w:val="17"/>
                <w:szCs w:val="17"/>
                <w:color w:val="auto"/>
              </w:rPr>
            </w:pPr>
          </w:p>
        </w:tc>
        <w:tc>
          <w:tcPr>
            <w:tcW w:w="128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VOTES</w:t>
            </w: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3. Approval, on an advisory basis, of the compensation of the Company’s</w:t>
            </w:r>
          </w:p>
        </w:tc>
        <w:tc>
          <w:tcPr>
            <w:tcW w:w="4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named executive officers</w:t>
            </w:r>
          </w:p>
        </w:tc>
        <w:tc>
          <w:tcPr>
            <w:tcW w:w="150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316,330,033</w:t>
            </w:r>
          </w:p>
        </w:tc>
        <w:tc>
          <w:tcPr>
            <w:tcW w:w="12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3,453,317</w:t>
            </w:r>
          </w:p>
        </w:tc>
        <w:tc>
          <w:tcPr>
            <w:tcW w:w="12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210,055</w:t>
            </w:r>
          </w:p>
        </w:tc>
        <w:tc>
          <w:tcPr>
            <w:tcW w:w="14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17,668,499</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8.01 Other Events.</w:t>
      </w:r>
    </w:p>
    <w:p>
      <w:pPr>
        <w:spacing w:after="0" w:line="121" w:lineRule="exact"/>
        <w:rPr>
          <w:sz w:val="20"/>
          <w:szCs w:val="20"/>
          <w:color w:val="auto"/>
        </w:rPr>
      </w:pPr>
    </w:p>
    <w:p>
      <w:pPr>
        <w:ind w:right="1120"/>
        <w:spacing w:after="0" w:line="282" w:lineRule="auto"/>
        <w:rPr>
          <w:sz w:val="20"/>
          <w:szCs w:val="20"/>
          <w:color w:val="auto"/>
        </w:rPr>
      </w:pPr>
      <w:r>
        <w:rPr>
          <w:rFonts w:ascii="Times New Roman" w:cs="Times New Roman" w:eastAsia="Times New Roman" w:hAnsi="Times New Roman"/>
          <w:sz w:val="18"/>
          <w:szCs w:val="18"/>
          <w:color w:val="auto"/>
        </w:rPr>
        <w:t>On May 20, 2026, the Board declared a supplemental dividend of $0.09 per share as part of the Company’s 2025 return of capital plan. The supplemental dividend is payable on June 12, 2026 to each stockholder of record on June 1,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declared a regular quarterly dividend of $0.09 per share, payable on June 26, 2026 to each stockholder of record on June 12, 2026.</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issued by the Company on May 21, 2026 is furnished herewith as Exhibit 99.1 and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780" w:hanging="263"/>
        <w:spacing w:after="0"/>
        <w:tabs>
          <w:tab w:leader="none" w:pos="7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pacing w:after="0" w:line="376"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FF"/>
        </w:rPr>
        <w:t>NOV Declares Regular Quarterly Dividend and Supplemental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-7620</wp:posOffset>
            </wp:positionV>
            <wp:extent cx="32899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89935" cy="8890"/>
                    </a:xfrm>
                    <a:prstGeom prst="rect">
                      <a:avLst/>
                    </a:prstGeom>
                    <a:noFill/>
                  </pic:spPr>
                </pic:pic>
              </a:graphicData>
            </a:graphic>
          </wp:anchor>
        </w:drawing>
      </w:r>
    </w:p>
    <w:p>
      <w:pPr>
        <w:spacing w:after="0" w:line="111"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NOV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22,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F. Vranderic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Peter F. Vranderic,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724535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276860</wp:posOffset>
            </wp:positionH>
            <wp:positionV relativeFrom="page">
              <wp:posOffset>500380</wp:posOffset>
            </wp:positionV>
            <wp:extent cx="179133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791335" cy="63436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spacing w:after="0"/>
        <w:tabs>
          <w:tab w:leader="none" w:pos="7600" w:val="left"/>
        </w:tabs>
        <w:rPr>
          <w:sz w:val="20"/>
          <w:szCs w:val="20"/>
          <w:color w:val="auto"/>
        </w:rPr>
      </w:pPr>
      <w:r>
        <w:rPr>
          <w:rFonts w:ascii="Times New Roman" w:cs="Times New Roman" w:eastAsia="Times New Roman" w:hAnsi="Times New Roman"/>
          <w:sz w:val="19"/>
          <w:szCs w:val="19"/>
          <w:b w:val="1"/>
          <w:bCs w:val="1"/>
          <w:color w:val="auto"/>
        </w:rPr>
        <w:t>NEWS</w:t>
      </w:r>
      <w:r>
        <w:rPr>
          <w:sz w:val="20"/>
          <w:szCs w:val="20"/>
          <w:color w:val="auto"/>
        </w:rPr>
        <w:tab/>
      </w:r>
      <w:r>
        <w:rPr>
          <w:rFonts w:ascii="Times New Roman" w:cs="Times New Roman" w:eastAsia="Times New Roman" w:hAnsi="Times New Roman"/>
          <w:sz w:val="19"/>
          <w:szCs w:val="19"/>
          <w:b w:val="1"/>
          <w:bCs w:val="1"/>
          <w:color w:val="auto"/>
        </w:rPr>
        <w:t>Contact: Amie D’Ambrosio (713) 375-3826</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IMMEDIATE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 DECLARES REGULAR QUARTERLY DIVIDEND AND SUPPLEMENTAL DIVIDEND</w:t>
      </w:r>
    </w:p>
    <w:p>
      <w:pPr>
        <w:spacing w:after="0" w:line="2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HOUSTON, TX, May 21, 2026 </w:t>
      </w:r>
      <w:r>
        <w:rPr>
          <w:rFonts w:ascii="Times New Roman" w:cs="Times New Roman" w:eastAsia="Times New Roman" w:hAnsi="Times New Roman"/>
          <w:sz w:val="18"/>
          <w:szCs w:val="18"/>
          <w:color w:val="auto"/>
        </w:rPr>
        <w:t>– NOV Inc. (NYSE: NOV) announced today that its Board of Directors declared a regular quarterly cash dividend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$0.09 per share of common stock, payable on June 26, 2026 to each stockholder of record on June 12, 2026.</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 also announced today that its Board of Directors declared a supplemental cash dividend of $0.09 per share of common stock as part of the Company’s 2025 return of capital plan. The supplemental dividend is payable on June 12, 2026 to each stockholder of record on June 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NOV</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NOV delivers technology-driven solutions to empower the global energy industry. For more than 160 years, NOV has pioneered innovations that enable its customers to safely and efficiently produce abundant energy while minimizing environmental impact. NOV powers the industry that powers the world.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for the Purpose of the “Safe Harbor” Provisions of the Private Securities Litigation Reform Act of 1995</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made in this press release that are forward-looking in nature are intended to be “forward-looking statements” within the meaning of Section 21E of the Securities Exchange Act of 1934 and may involve risks and uncertainties. These statements may differ materially from the actual future events or results. Readers are referred to documents filed by NOV with the Securities and Exchange Commission, including the Annual Report on Form 10-K, which identify significant risk factors which could cause actual results to differ from those contained in the forward-looking statements. These statements speak only as of the date of this document, and we undertake no obligation to update or revise the statements, except as may be required by law.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Visit </w:t>
      </w:r>
      <w:r>
        <w:rPr>
          <w:rFonts w:ascii="Times New Roman" w:cs="Times New Roman" w:eastAsia="Times New Roman" w:hAnsi="Times New Roman"/>
          <w:sz w:val="18"/>
          <w:szCs w:val="18"/>
          <w:u w:val="single" w:color="auto"/>
          <w:color w:val="0000FF"/>
        </w:rPr>
        <w:t>www.nov.com</w:t>
      </w:r>
      <w:r>
        <w:rPr>
          <w:rFonts w:ascii="Times New Roman" w:cs="Times New Roman" w:eastAsia="Times New Roman" w:hAnsi="Times New Roman"/>
          <w:sz w:val="18"/>
          <w:szCs w:val="18"/>
          <w:color w:val="auto"/>
        </w:rPr>
        <w:t xml:space="preserve"> for more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NOV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Amie D’Ambrosio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Investor Relations</w:t>
      </w:r>
    </w:p>
    <w:p>
      <w:pPr>
        <w:spacing w:after="0" w:line="9" w:lineRule="exact"/>
        <w:rPr>
          <w:sz w:val="20"/>
          <w:szCs w:val="20"/>
          <w:color w:val="auto"/>
        </w:rPr>
      </w:pPr>
    </w:p>
    <w:p>
      <w:pPr>
        <w:ind w:right="928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375-3826 </w:t>
      </w:r>
      <w:r>
        <w:rPr>
          <w:rFonts w:ascii="Times New Roman" w:cs="Times New Roman" w:eastAsia="Times New Roman" w:hAnsi="Times New Roman"/>
          <w:sz w:val="18"/>
          <w:szCs w:val="18"/>
          <w:u w:val="single" w:color="auto"/>
          <w:color w:val="0000FF"/>
        </w:rPr>
        <w:t>amie.dambrosio@nov.com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457200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71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2026-05-22T12:54:38Z</dcterms:created>
  <dcterms:modified xsi:type="dcterms:W3CDTF">2026-05-22T12:54:38Z</dcterms:modified>
</cp:coreProperties>
</file>