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2931795</wp:posOffset>
            </wp:positionH>
            <wp:positionV relativeFrom="paragraph">
              <wp:posOffset>345440</wp:posOffset>
            </wp:positionV>
            <wp:extent cx="1279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3114040</wp:posOffset>
            </wp:positionH>
            <wp:positionV relativeFrom="paragraph">
              <wp:posOffset>135890</wp:posOffset>
            </wp:positionV>
            <wp:extent cx="913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1"/>
          <w:szCs w:val="31"/>
          <w:b w:val="1"/>
          <w:bCs w:val="1"/>
          <w:color w:val="auto"/>
        </w:rPr>
        <w:t>NOV INC.</w:t>
      </w:r>
    </w:p>
    <w:p>
      <w:pPr>
        <w:spacing w:after="0" w:line="3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2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7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1-12317</w:t>
            </w:r>
          </w:p>
        </w:tc>
        <w:tc>
          <w:tcPr>
            <w:tcW w:w="1260" w:type="dxa"/>
            <w:vAlign w:val="bottom"/>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76-0475815</w:t>
            </w:r>
          </w:p>
        </w:tc>
      </w:tr>
      <w:tr>
        <w:trPr>
          <w:trHeight w:val="135"/>
        </w:trPr>
        <w:tc>
          <w:tcPr>
            <w:tcW w:w="202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570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Commission File Number</w:t>
            </w:r>
          </w:p>
        </w:tc>
        <w:tc>
          <w:tcPr>
            <w:tcW w:w="1260" w:type="dxa"/>
            <w:vAlign w:val="bottom"/>
          </w:tcPr>
          <w:p>
            <w:pPr>
              <w:jc w:val="center"/>
              <w:ind w:left="276"/>
              <w:spacing w:after="0" w:line="135" w:lineRule="exact"/>
              <w:rPr>
                <w:sz w:val="20"/>
                <w:szCs w:val="20"/>
                <w:color w:val="auto"/>
              </w:rPr>
            </w:pPr>
            <w:r>
              <w:rPr>
                <w:rFonts w:ascii="Times New Roman" w:cs="Times New Roman" w:eastAsia="Times New Roman" w:hAnsi="Times New Roman"/>
                <w:sz w:val="12"/>
                <w:szCs w:val="12"/>
                <w:b w:val="1"/>
                <w:bCs w:val="1"/>
                <w:color w:val="auto"/>
                <w:w w:val="96"/>
              </w:rPr>
              <w:t>(I.R.S. Employer</w:t>
            </w:r>
          </w:p>
        </w:tc>
      </w:tr>
      <w:tr>
        <w:trPr>
          <w:trHeight w:val="152"/>
        </w:trPr>
        <w:tc>
          <w:tcPr>
            <w:tcW w:w="2020" w:type="dxa"/>
            <w:vAlign w:val="bottom"/>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5700" w:type="dxa"/>
            <w:vAlign w:val="bottom"/>
          </w:tcPr>
          <w:p>
            <w:pPr>
              <w:spacing w:after="0"/>
              <w:rPr>
                <w:sz w:val="13"/>
                <w:szCs w:val="13"/>
                <w:color w:val="auto"/>
              </w:rPr>
            </w:pPr>
          </w:p>
        </w:tc>
        <w:tc>
          <w:tcPr>
            <w:tcW w:w="1260" w:type="dxa"/>
            <w:vAlign w:val="bottom"/>
          </w:tcPr>
          <w:p>
            <w:pPr>
              <w:jc w:val="center"/>
              <w:ind w:left="276"/>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495"/>
        </w:trPr>
        <w:tc>
          <w:tcPr>
            <w:tcW w:w="20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10353 Richmond Avenue</w:t>
            </w:r>
          </w:p>
        </w:tc>
        <w:tc>
          <w:tcPr>
            <w:tcW w:w="5700" w:type="dxa"/>
            <w:vAlign w:val="bottom"/>
          </w:tcPr>
          <w:p>
            <w:pPr>
              <w:spacing w:after="0"/>
              <w:rPr>
                <w:sz w:val="24"/>
                <w:szCs w:val="24"/>
                <w:color w:val="auto"/>
              </w:rPr>
            </w:pPr>
          </w:p>
        </w:tc>
        <w:tc>
          <w:tcPr>
            <w:tcW w:w="1260" w:type="dxa"/>
            <w:vAlign w:val="bottom"/>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77042-4103</w:t>
            </w:r>
          </w:p>
        </w:tc>
      </w:tr>
      <w:tr>
        <w:trPr>
          <w:trHeight w:val="190"/>
        </w:trPr>
        <w:tc>
          <w:tcPr>
            <w:tcW w:w="2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Houston, Texas</w:t>
            </w:r>
          </w:p>
        </w:tc>
        <w:tc>
          <w:tcPr>
            <w:tcW w:w="57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0"/>
        </w:trPr>
        <w:tc>
          <w:tcPr>
            <w:tcW w:w="2020" w:type="dxa"/>
            <w:vAlign w:val="bottom"/>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7"/>
              </w:rPr>
              <w:t>(Address of principal executive offices)</w:t>
            </w:r>
          </w:p>
        </w:tc>
        <w:tc>
          <w:tcPr>
            <w:tcW w:w="5700" w:type="dxa"/>
            <w:vAlign w:val="bottom"/>
          </w:tcPr>
          <w:p>
            <w:pPr>
              <w:spacing w:after="0"/>
              <w:rPr>
                <w:sz w:val="22"/>
                <w:szCs w:val="22"/>
                <w:color w:val="auto"/>
              </w:rPr>
            </w:pPr>
          </w:p>
        </w:tc>
        <w:tc>
          <w:tcPr>
            <w:tcW w:w="1260" w:type="dxa"/>
            <w:vAlign w:val="bottom"/>
          </w:tcPr>
          <w:p>
            <w:pPr>
              <w:jc w:val="center"/>
              <w:ind w:left="256"/>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r>
        <w:trPr>
          <w:trHeight w:val="306"/>
        </w:trPr>
        <w:tc>
          <w:tcPr>
            <w:tcW w:w="2020" w:type="dxa"/>
            <w:vAlign w:val="bottom"/>
          </w:tcPr>
          <w:p>
            <w:pPr>
              <w:spacing w:after="0"/>
              <w:rPr>
                <w:sz w:val="24"/>
                <w:szCs w:val="24"/>
                <w:color w:val="auto"/>
              </w:rPr>
            </w:pPr>
          </w:p>
        </w:tc>
        <w:tc>
          <w:tcPr>
            <w:tcW w:w="57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Peter F. Vranderic</w:t>
            </w:r>
          </w:p>
        </w:tc>
        <w:tc>
          <w:tcPr>
            <w:tcW w:w="1260" w:type="dxa"/>
            <w:vAlign w:val="bottom"/>
          </w:tcPr>
          <w:p>
            <w:pPr>
              <w:spacing w:after="0"/>
              <w:rPr>
                <w:sz w:val="24"/>
                <w:szCs w:val="24"/>
                <w:color w:val="auto"/>
              </w:rPr>
            </w:pPr>
          </w:p>
        </w:tc>
      </w:tr>
      <w:tr>
        <w:trPr>
          <w:trHeight w:val="149"/>
        </w:trPr>
        <w:tc>
          <w:tcPr>
            <w:tcW w:w="2020" w:type="dxa"/>
            <w:vAlign w:val="bottom"/>
          </w:tcPr>
          <w:p>
            <w:pPr>
              <w:spacing w:after="0"/>
              <w:rPr>
                <w:sz w:val="12"/>
                <w:szCs w:val="12"/>
                <w:color w:val="auto"/>
              </w:rPr>
            </w:pPr>
          </w:p>
        </w:tc>
        <w:tc>
          <w:tcPr>
            <w:tcW w:w="570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Vice President and Assistant Secretary</w:t>
            </w:r>
          </w:p>
        </w:tc>
        <w:tc>
          <w:tcPr>
            <w:tcW w:w="1260" w:type="dxa"/>
            <w:vAlign w:val="bottom"/>
          </w:tcPr>
          <w:p>
            <w:pPr>
              <w:spacing w:after="0"/>
              <w:rPr>
                <w:sz w:val="12"/>
                <w:szCs w:val="12"/>
                <w:color w:val="auto"/>
              </w:rPr>
            </w:pPr>
          </w:p>
        </w:tc>
      </w:tr>
      <w:tr>
        <w:trPr>
          <w:trHeight w:val="163"/>
        </w:trPr>
        <w:tc>
          <w:tcPr>
            <w:tcW w:w="2020" w:type="dxa"/>
            <w:vAlign w:val="bottom"/>
          </w:tcPr>
          <w:p>
            <w:pPr>
              <w:spacing w:after="0"/>
              <w:rPr>
                <w:sz w:val="14"/>
                <w:szCs w:val="14"/>
                <w:color w:val="auto"/>
              </w:rPr>
            </w:pPr>
          </w:p>
        </w:tc>
        <w:tc>
          <w:tcPr>
            <w:tcW w:w="57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(346) 223-3000</w:t>
            </w:r>
          </w:p>
        </w:tc>
        <w:tc>
          <w:tcPr>
            <w:tcW w:w="1260" w:type="dxa"/>
            <w:vAlign w:val="bottom"/>
          </w:tcPr>
          <w:p>
            <w:pPr>
              <w:spacing w:after="0"/>
              <w:rPr>
                <w:sz w:val="14"/>
                <w:szCs w:val="14"/>
                <w:color w:val="auto"/>
              </w:rPr>
            </w:pPr>
          </w:p>
        </w:tc>
      </w:tr>
      <w:tr>
        <w:trPr>
          <w:trHeight w:val="152"/>
        </w:trPr>
        <w:tc>
          <w:tcPr>
            <w:tcW w:w="2020" w:type="dxa"/>
            <w:vAlign w:val="bottom"/>
          </w:tcPr>
          <w:p>
            <w:pPr>
              <w:spacing w:after="0"/>
              <w:rPr>
                <w:sz w:val="13"/>
                <w:szCs w:val="13"/>
                <w:color w:val="auto"/>
              </w:rPr>
            </w:pPr>
          </w:p>
        </w:tc>
        <w:tc>
          <w:tcPr>
            <w:tcW w:w="5700" w:type="dxa"/>
            <w:vAlign w:val="bottom"/>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7"/>
              </w:rPr>
              <w:t>(Name and telephone number, including area code, of the person to contact in connection with this report)</w:t>
            </w:r>
          </w:p>
        </w:tc>
        <w:tc>
          <w:tcPr>
            <w:tcW w:w="126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69" w:lineRule="exact"/>
        <w:rPr>
          <w:sz w:val="24"/>
          <w:szCs w:val="24"/>
          <w:color w:val="auto"/>
        </w:rPr>
      </w:pPr>
    </w:p>
    <w:p>
      <w:pPr>
        <w:ind w:left="540" w:hanging="532"/>
        <w:spacing w:after="0" w:line="273" w:lineRule="auto"/>
        <w:tabs>
          <w:tab w:leader="none" w:pos="54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CONFLICT MINERALS DISCLOSURE AND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NOV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prepared and filed herewith its Conflict Minerals Report for the calendar year ended December 31, 2025, as required pursuant to Rule 13p-1 under the Securities Exchange Act of 1934.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Form  SD  and  our  Conflict  Minerals  Report  filed  as  an  exhibit  hereto  is  publicly  available  on  our  internet  website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http://investors.nov.com/phoenix.zhtml?c=97690&amp;p=irol-sec.</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as an exhibit to this Form SD, a Conflicts Mineral Report as required by Item 1.01 of this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Conflict Minerals Report as required by Items 1.01 and 1.02 of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9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NOV INC.</w:t>
            </w:r>
          </w:p>
        </w:tc>
      </w:tr>
      <w:tr>
        <w:trPr>
          <w:trHeight w:val="64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3400" w:type="dxa"/>
            <w:vAlign w:val="bottom"/>
          </w:tcPr>
          <w:p>
            <w:pPr>
              <w:spacing w:after="0"/>
              <w:rPr>
                <w:sz w:val="24"/>
                <w:szCs w:val="24"/>
                <w:color w:val="auto"/>
              </w:rPr>
            </w:pPr>
          </w:p>
        </w:tc>
        <w:tc>
          <w:tcPr>
            <w:tcW w:w="6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By: /s/ Craig L. Weinstock</w:t>
            </w:r>
          </w:p>
        </w:tc>
      </w:tr>
      <w:tr>
        <w:trPr>
          <w:trHeight w:val="191"/>
        </w:trPr>
        <w:tc>
          <w:tcPr>
            <w:tcW w:w="18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60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Craig L. Weinstock</w:t>
            </w:r>
          </w:p>
        </w:tc>
      </w:tr>
      <w:tr>
        <w:trPr>
          <w:trHeight w:val="234"/>
        </w:trPr>
        <w:tc>
          <w:tcPr>
            <w:tcW w:w="1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1843"/>
        </w:trPr>
        <w:tc>
          <w:tcPr>
            <w:tcW w:w="18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reporting period from January 1, 2025 to December 31, 2025</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Conflict Minerals Report of NOV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NOV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for the calendar year ended December 31, 2025 is presented pursuant to Rule 13p-1 under the Securities Exchange Act of 1934 (the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The Rule imposes certain reporting obligations on issuers whose manufactured products include cassiterite, columbite-tantalite, gold, wolframite, and their derivatives, which are limited to tin, tantalum, tungsten, and gold (the “</w:t>
      </w:r>
      <w:r>
        <w:rPr>
          <w:rFonts w:ascii="Times New Roman" w:cs="Times New Roman" w:eastAsia="Times New Roman" w:hAnsi="Times New Roman"/>
          <w:sz w:val="18"/>
          <w:szCs w:val="18"/>
          <w:u w:val="single" w:color="auto"/>
          <w:color w:val="auto"/>
        </w:rPr>
        <w:t>Designated Minerals</w:t>
      </w:r>
      <w:r>
        <w:rPr>
          <w:rFonts w:ascii="Times New Roman" w:cs="Times New Roman" w:eastAsia="Times New Roman" w:hAnsi="Times New Roman"/>
          <w:sz w:val="18"/>
          <w:szCs w:val="18"/>
          <w:color w:val="auto"/>
        </w:rPr>
        <w:t>”), where such Designated Minerals are necessary to the functionality or production of such products. If any Designated Minerals necessary to functionality or production of such products originated from the Democratic Republic of the Congo or an adjoining country that shares an internationally recognized border with the Democratic Republic of the Congo (the “</w:t>
      </w:r>
      <w:r>
        <w:rPr>
          <w:rFonts w:ascii="Times New Roman" w:cs="Times New Roman" w:eastAsia="Times New Roman" w:hAnsi="Times New Roman"/>
          <w:sz w:val="18"/>
          <w:szCs w:val="18"/>
          <w:u w:val="single" w:color="auto"/>
          <w:color w:val="auto"/>
        </w:rPr>
        <w:t>Conflict Region</w:t>
      </w:r>
      <w:r>
        <w:rPr>
          <w:rFonts w:ascii="Times New Roman" w:cs="Times New Roman" w:eastAsia="Times New Roman" w:hAnsi="Times New Roman"/>
          <w:sz w:val="18"/>
          <w:szCs w:val="18"/>
          <w:color w:val="auto"/>
        </w:rPr>
        <w:t>”) and are not from recycled or scrap sources, the Rule imposes certain additional due diligence and reporting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Description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Conflict Minerals Report covers all products manufactured by NOV or contracted to be manufactured for NOV. Those products include, but are not limited to, those listed in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to this Conflict Minerals Report. After evaluating our product lines, we have determined that certain products that we manufacture or contract to manufacture contain the Designated Minerals and that such Designated Minerals are necessary to the function or production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NOV’s policy is to develop a “conflict-free” supply chain – one that does not use Designated Minerals sourced from mines or smelters that have directly or indirectly aided armed groups in the Conflict Region.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our policy can be found at: http://investors.nov.com/phoenix.zhtml?c=97690&amp;p=irol-govconduct.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conflict minerals compliance program was initiated with a review of our product portfolio. NOV is a global company with a complex and multi-tiered supply chain. Due to this complexity, NOV relies on our Tier 1 suppliers to provide input regarding the source of conflict minerals in both the raw materials and parts that we purchase for use in the manufacture of our products. We expect our Tier 1 suppliers to also implement policies and procedures comparable to NOV’s to obtain thorough and accurate chain of custody information for the purpose of this reporting.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 utilizes an internally developed and computerized Conflict Minerals Management System (the “</w:t>
      </w:r>
      <w:r>
        <w:rPr>
          <w:rFonts w:ascii="Times New Roman" w:cs="Times New Roman" w:eastAsia="Times New Roman" w:hAnsi="Times New Roman"/>
          <w:sz w:val="18"/>
          <w:szCs w:val="18"/>
          <w:u w:val="single" w:color="auto"/>
          <w:color w:val="auto"/>
        </w:rPr>
        <w:t>CMM System</w:t>
      </w:r>
      <w:r>
        <w:rPr>
          <w:rFonts w:ascii="Times New Roman" w:cs="Times New Roman" w:eastAsia="Times New Roman" w:hAnsi="Times New Roman"/>
          <w:sz w:val="18"/>
          <w:szCs w:val="18"/>
          <w:color w:val="auto"/>
        </w:rPr>
        <w:t>”) that provides a platform for conflict minerals compliance by all NOV business units impacted by conflict minerals. Suppliers identified as providing goods containing any of the Designated Minerals are flagged within The CMM System as potential “Conflict Minerals” suppliers delivering items containing Designated Minerals. The identified suppliers are directed to complete an online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 The purpose of our CMM System is to determine which suppliers should complete an RCOI, and further to identify suppliers requiring additional Due Diligence (see “Due Diligence” below) based on the RCOI responses.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2025 calendar year, we asked 692 suppliers we identified as relevant to complete an online RCOI through our CMM System. The survey response rate was 31%. Of the 215 suppliers who responded, no supplier reported having sourced from the Conflict Region in a manner which benefited armed groups in the region. NOV continues to work with our suppliers to obtain this information to increase our visibility on the use of conflict minerals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due diligence process is designed to be consistent with Annex I of the Organization for Economic Co-Operation and Development (“</w:t>
      </w:r>
      <w:r>
        <w:rPr>
          <w:rFonts w:ascii="Times New Roman" w:cs="Times New Roman" w:eastAsia="Times New Roman" w:hAnsi="Times New Roman"/>
          <w:sz w:val="18"/>
          <w:szCs w:val="18"/>
          <w:u w:val="single" w:color="auto"/>
          <w:color w:val="auto"/>
        </w:rPr>
        <w:t>OECD</w:t>
      </w:r>
      <w:r>
        <w:rPr>
          <w:rFonts w:ascii="Times New Roman" w:cs="Times New Roman" w:eastAsia="Times New Roman" w:hAnsi="Times New Roman"/>
          <w:sz w:val="18"/>
          <w:szCs w:val="18"/>
          <w:color w:val="auto"/>
        </w:rPr>
        <w:t>”) Due Diligence Guidance for Responsible Supply Chains of Minerals from Conflict-Affected and High-Risk Areas (the “</w:t>
      </w:r>
      <w:r>
        <w:rPr>
          <w:rFonts w:ascii="Times New Roman" w:cs="Times New Roman" w:eastAsia="Times New Roman" w:hAnsi="Times New Roman"/>
          <w:sz w:val="18"/>
          <w:szCs w:val="18"/>
          <w:u w:val="single" w:color="auto"/>
          <w:color w:val="auto"/>
        </w:rPr>
        <w:t>OECD Framework</w:t>
      </w:r>
      <w:r>
        <w:rPr>
          <w:rFonts w:ascii="Times New Roman" w:cs="Times New Roman" w:eastAsia="Times New Roman" w:hAnsi="Times New Roman"/>
          <w:sz w:val="18"/>
          <w:szCs w:val="18"/>
          <w:color w:val="auto"/>
        </w:rPr>
        <w:t>”). All steps taken by NOV in preparing this Conflict Minerals Report are in accordance with the OECD Framework.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due diligence activities generally included follow-up questions with the relevant suppliers or their sub-suppliers within the supply chain, a review of smelter or refiner certifications, a review of materials spec sheets, and similar activities designed to determine whether raw materials and/or purchased subcomponents used in our products contain Designated Minerals, the source of any Designated Minerals, and whether that source directly or indirectly aids armed groups in the Conflict Region.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Based on the information that was provided by our suppliers and otherwise obtained through the due diligence process, we believe that, to the extent reasonably determinable, the facilities that were used to process the Designated Minerals contained in our in-scope products may have included the smelters and refiners listed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xml:space="preserve"> below. The list is not comprehensive, and it is also likely over-inclusive in that it includes some smelters or refiners that are not in the Company’s supply chain due to supplier responses being provided at the company or divisional level (rather than item level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Conflict Minerals Report was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color w:val="auto"/>
        </w:rPr>
        <w:t xml:space="preserve"> subjected to an independent private sector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1171575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4980"/>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List of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products are more fully described in the company’s Form 10-K, which may be found publicly on our internet website at:</w:t>
      </w:r>
    </w:p>
    <w:p>
      <w:pPr>
        <w:spacing w:after="0" w:line="2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http://investors.nov.com/phoenix.zhtml?c=97690&amp;p=irol-reportsannual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Artificial Lift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Blowout Preventers and other Pressure Control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Coiled Tubing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Completion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Derricks, Substructures and Masts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Downhole Fluids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Downhole Motors and other Downhole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 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Drill Pipe and Tubulars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Electric Rig Motors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Fiberglass and Steel Storage Tanks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Fiberglass Pipes and Connectors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Offshore Wind Structures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Production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Fracturing Tools and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Hoisting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 Rig Packages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Manifolds and Wellheads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Compensation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Mud Pumps and other Fluid Transfer 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Offshore Drilling Equipment Packages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Handling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Handling Tools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Generators and Lighting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Pressure Pumping Trucks and Pumps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 Instrumentation and Control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Rotary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Solids Control and Waste Management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Stimulation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Surface Transfer Pumps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 Drives and other Power Transmission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Turret Mooring Systems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Wind Turbine Installation and Cable Lay Vessels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Wireline Units and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1296035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Attachment B</w:t>
      </w: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our RCOI and due diligence process, our suppliers identified the smelters and refiners listed below as potentially having processed the Conflict Minerals contained in our in-scope products in calendar year 2025.</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Smelter List</w:t>
      </w:r>
    </w:p>
    <w:p>
      <w:pPr>
        <w:spacing w:after="0" w:line="236" w:lineRule="exact"/>
        <w:rPr>
          <w:sz w:val="20"/>
          <w:szCs w:val="20"/>
          <w:color w:val="auto"/>
        </w:rPr>
      </w:pPr>
    </w:p>
    <w:tbl>
      <w:tblPr>
        <w:tblLayout w:type="fixed"/>
        <w:tblInd w:w="148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CID000019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Aida Chemical Industries</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Asahi Metalfine</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CID000090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Asaka Riken</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CID000157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Boliden Ronnskar</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SWEDEN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CID004604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Impala Refineries – BMR</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SOUTH AFRICA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CID004610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Impala Rustenburg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SOUTH AFRICA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CID000035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Agosi AG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CID000113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Aurubis AG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CID000176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 Hafner GmbH</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CID000180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Caridad</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MEXICO</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CID000185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CCR Refinery – Glencore</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CANADA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CID000189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Cendres + Metaux S.A.</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SWITZERLAND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CID000233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Chimet</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ITALY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CID000264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Chugai Mining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CID000343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Daye Non-Ferrous Metals Mining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CID000359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Do Sung Corporation</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CID000401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Dowa</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CID000425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Eco-System Recycling - East Plant</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CID000671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Hangzhou Fuchunjiang Smelting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CID000689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LT Metal</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CID000694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Heimerle + Meule GmbH</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CID000707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Heraeus Metals Hong Kong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CID000711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Heraeus Germany GmbH</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CID000767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Hunan Chenzhou Mining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CID000773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Hunan Guiyang Yinxing Smelting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CID000778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HwaSeong CJ</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CID000801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Inner Mongolia Qiankun</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CID000807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Ishifuku Metal Industry</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CID000814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Istanbul Gold Refinery</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TURKEY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CID000823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Japan Mint</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CID000855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Jiangxi Copper</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CID000920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Asahi Refining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CID000924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Asahi Refining Canada</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CANADA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CID000937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JX Nippon Mining &amp; Metals</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CID000956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Kazakhmys Smelting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KAZAKHSTAN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CID000957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Kazzinc</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KAZAKHSTAN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CID000969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Kennecott Utah Copper</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CID000981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Kojima Chemicals</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CID001029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Kyrgyzaltyn JSC</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KYRGYZSTAN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CID001032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L'azurde Company</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SAUDI ARABIA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CID001078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LS MnM Inc.</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CID001093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Luoyang Zijin Yinhui Gold Refinery</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CID001113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Materion</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CID001119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Matsuda Sangyo</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CID001147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Metalor Technologies</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CID001149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Metalor Technologies.</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CID001152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Metalor Technologies PTE</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SINGAPORE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CID001153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Metalor Technologies S.A.</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SWITZERLAND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CID001157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Metalor USA Refining Corporation</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CID001161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Metalurgica Met-Mex Penoles</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MEXICO</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CID001188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Mitsubishi Materials Corporation</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CID001193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Mitsui Mining and Smelting</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CID001220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Nadir Metal Rafineri</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TURKEY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CID001236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Navoi MMC</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UZBEKISTAN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CID001259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Nihon Material</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JAPAN</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CID001352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MKS PAMP SA</w:t>
            </w:r>
          </w:p>
        </w:tc>
        <w:tc>
          <w:tcPr>
            <w:tcW w:w="19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SWITZERLAND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-5875655</wp:posOffset>
            </wp:positionV>
            <wp:extent cx="5419725" cy="5874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19725" cy="5874385"/>
                    </a:xfrm>
                    <a:prstGeom prst="rect">
                      <a:avLst/>
                    </a:prstGeom>
                    <a:noFill/>
                  </pic:spPr>
                </pic:pic>
              </a:graphicData>
            </a:graphic>
          </wp:anchor>
        </w:drawing>
      </w:r>
    </w:p>
    <w:p>
      <w:pPr>
        <w:sectPr>
          <w:pgSz w:w="11900" w:h="16838" w:orient="portrait"/>
          <w:cols w:equalWidth="0" w:num="1">
            <w:col w:w="11060"/>
          </w:cols>
          <w:pgMar w:left="320" w:top="1404" w:right="519" w:bottom="1440" w:gutter="0" w:footer="0" w:header="0"/>
        </w:sectPr>
      </w:pPr>
    </w:p>
    <w:bookmarkStart w:id="7" w:name="page8"/>
    <w:bookmarkEnd w:id="7"/>
    <w:tbl>
      <w:tblPr>
        <w:tblLayout w:type="fixed"/>
        <w:tblInd w:w="36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CID001362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Penglai Penggang Gold Industry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CID001397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Aneka Tambang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CID001325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Ohura Precious Metal Industry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CID001498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PX Precinox S.A.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SWITZERLAND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CID001512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Rand Refinery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SOUTH AFRICA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CID001534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Royal Canadian Mint</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CANADA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CID001546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Sabin Metal</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CID001562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Samwon Metals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CID001585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SEMPSA Joyeria Plateria S.A.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SPAIN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CID001619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Tiancheng Biological Gold</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CID001622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Shandong Zhaojin Refinery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CID001736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Sichuan Tianze Precious Metals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CID001761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Solar Applied Materials Technology Corp.</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CID001798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Sumitomo Metal Mining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CID001810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Super Dragon Technology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CID001875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Tanaka Kikinzoku Kogyo K.K.</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CID001909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Great Wall Precious Metals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CID001916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Shandong Gold Smelting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CID001938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Tokuriki Honten</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CID001947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Tongling Nonferrous Metals Group</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CID001955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Torecom</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CID001980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Umicore Precious Metals Refining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BELGIUM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CID001993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United Precious Metal Refining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CID002003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Valcambi S.A.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SWITZERLAND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CID002030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Western Australian Mint</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AUSTRALIA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CID002100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Yamakin</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CID002129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Yokohama Metal</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CID002224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Zhongyuan Gold Smelter</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CID002243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Gold Refinery of Zijin Mining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CID002282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Morris and Watson</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NEW ZEALAND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CID002290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SAFINA A.S.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CZECHIA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MMTC-PAMP</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CID002511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KGHM Polska Miedz Spolka Akcyjna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POLAND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CID002525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Shandong Humon Smelting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CID002527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Shenzhen Zhonghenglong</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CID002560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Al Etihad Gold Refinery DMCC</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CID002562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International Precious Metal Refiners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CID002580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T.C.A S.p.A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ITALY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Remondis PMR</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NETHERLANDS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CID002584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Fujairah Gold FZC</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CID002588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Shirpur Gold Refinery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CID002605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Korea Zinc</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CID002606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Marsam Metals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CID002615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TOO Tau-Ken-Altyn</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KAZAKHSTAN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CID002708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Abington Reldan Metals</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CID002750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Shenzhen CuiLu Gold</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CID002760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Albino Mountinho</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PORTUGAL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CID002761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SAAMP</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FRANCE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CID002762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L'Orfebre S.A.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ANDORRA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CID002763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8853 S.p.A.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ITALY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CID002765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Italpreziosi</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ITALY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CID002778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WIELAND Edelmetalle GmbH</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CID002779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Ogussa GmbH</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AUSTRIA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CID002863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Bangalore Refinery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CID002867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Degussa Goldhandel GmbH</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CID002872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Pease &amp; Curren</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CID002893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Jalan &amp; Company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CID002918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SungEel HiMetal</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CID002919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Planta Recuperadora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CHILE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CID002920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ABC Refinery</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AUSTRALIA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CID002973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Safimet S.p.A</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ITALY</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CID002857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Modeltech</w:t>
            </w:r>
          </w:p>
        </w:tc>
        <w:tc>
          <w:tcPr>
            <w:tcW w:w="1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MALAYSIA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-6492875</wp:posOffset>
            </wp:positionV>
            <wp:extent cx="5419725" cy="6491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9725" cy="6491605"/>
                    </a:xfrm>
                    <a:prstGeom prst="rect">
                      <a:avLst/>
                    </a:prstGeom>
                    <a:noFill/>
                  </pic:spPr>
                </pic:pic>
              </a:graphicData>
            </a:graphic>
          </wp:anchor>
        </w:drawing>
      </w:r>
    </w:p>
    <w:p>
      <w:pPr>
        <w:sectPr>
          <w:pgSz w:w="11900" w:h="16838" w:orient="portrait"/>
          <w:cols w:equalWidth="0" w:num="1">
            <w:col w:w="9019"/>
          </w:cols>
          <w:pgMar w:left="1440" w:top="1424" w:right="1440" w:bottom="1440" w:gutter="0" w:footer="0" w:header="0"/>
        </w:sectPr>
      </w:pPr>
    </w:p>
    <w:bookmarkStart w:id="8" w:name="page9"/>
    <w:bookmarkEnd w:id="8"/>
    <w:tbl>
      <w:tblPr>
        <w:tblLayout w:type="fixed"/>
        <w:tblInd w:w="36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CID003153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Center for Physical Sciences and Technology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LITHUANIA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CID003186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Gold Coast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GHANA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CID003189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NH Recytech Company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CID003324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QG Refining</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CID003348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Dijllah Gold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CGR Metalloys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CID003424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Eco-System Recycling Co., Ltd. North</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CID003425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Eco-System Recycling Co., Ltd. West</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CID003461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Augmont Enterprises Private Limited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CID003487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Emerald Jewel Industry - Unit 1</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CID003488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Emerald Jewel Industry - Unit 2</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CID003489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Emerald Jewel Industry - Unit 3</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CID003490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Emerald Jewel Industry - Unit 4</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CID003497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K.A. Rasmussen</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NORWAY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CID003500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Alexy Metals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CID003548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MD Overseas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CID003557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Metallix Refining Inc.</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CID003575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 Concentrators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SOUTH AFRICA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CID003615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Weeerefining</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FRANCE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CID003641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Gold by Gold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COLOMBIA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CID003663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Dongwu Gold Group</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CID003666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SAM Precious Metals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CID003690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Noble Metal Services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CID004010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Coimpa Industrial</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CID004435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Shenzhen Jinjunwei</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CID004506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GG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TANZANIA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CID004697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Attero Recycling</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CID004714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Impala PMR</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SOUTH AFRICA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CID004755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Elite Industech</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CID000197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Yunnan Copper Industry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CID000493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JSC Novosibirsk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CID000927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JSC Ekaterinburg Non-Ferrous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CID000929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JSC Uralelectromed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CID001056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Lingbao Gold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CID001204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Moscow Special Alloys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CID001326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OJSC Krastsvetmet</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CID001386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Prioksky Plant of Non-Ferrous Metals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CID001555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Samduck Precious Metals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CID001756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Shyolkovsky PMR</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Umicore Precious Metals Thailand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THAILAND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CID002515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Fidelity Printers and Refiners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ZIMBABWE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CID002516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Singway Technology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CID002561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Emirates Gold DMCC</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CID002850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AU Traders and Refiners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SOUTH AFRICA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CID002852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GGC Gujrat Gold Centre</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CID002865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Kyshtym Copper-Electrolytic</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CID003185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African Gold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UGANDA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CID003383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Sovereign Metals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CID003463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Kundan Care Products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CID004491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Titan Company Limited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CID005006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Gasabo Gold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RWANDA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CID005014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MTP Belen Plant</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PERU</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CID000103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Atasay Kuyumculuk</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TURKEY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CID000128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Bangko Sentral</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PHILIPPINES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Guangdong Jinding Gold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CID000651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Guoda Safina High-Tech Environmental</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CID002587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Industrial Refining Company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BELGIUM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CID002563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Kaloti Precious Metals</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UAE</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CID001058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Lingbao Jinyuan Tonghui Refinery</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CID000522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Refinery of Seemine Gold</w:t>
            </w:r>
          </w:p>
        </w:tc>
        <w:tc>
          <w:tcPr>
            <w:tcW w:w="1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-6287135</wp:posOffset>
            </wp:positionV>
            <wp:extent cx="5419725" cy="6285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19725" cy="6285865"/>
                    </a:xfrm>
                    <a:prstGeom prst="rect">
                      <a:avLst/>
                    </a:prstGeom>
                    <a:noFill/>
                  </pic:spPr>
                </pic:pic>
              </a:graphicData>
            </a:graphic>
          </wp:anchor>
        </w:drawing>
      </w:r>
    </w:p>
    <w:p>
      <w:pPr>
        <w:sectPr>
          <w:pgSz w:w="11900" w:h="16838" w:orient="portrait"/>
          <w:cols w:equalWidth="0" w:num="1">
            <w:col w:w="9019"/>
          </w:cols>
          <w:pgMar w:left="1440" w:top="1424" w:right="1440" w:bottom="1440" w:gutter="0" w:footer="0" w:header="0"/>
        </w:sectPr>
      </w:pPr>
    </w:p>
    <w:bookmarkStart w:id="9" w:name="page10"/>
    <w:bookmarkEnd w:id="9"/>
    <w:tbl>
      <w:tblPr>
        <w:tblLayout w:type="fixed"/>
        <w:tblInd w:w="36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CID002853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Sai Refinery</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CID002567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Sudan Gold Refinery</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SUDAN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CID000041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Almalyk Mining and Metallurgical Complex</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UZBEKISTAN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CID000015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Advanced Chemical Company</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14"/>
                <w:szCs w:val="14"/>
                <w:color w:val="auto"/>
              </w:rPr>
            </w:pP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Eco-System Recycling Co., Ltd. West Plant</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CID000077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Argor-Heraeus S.A.</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SWITZERLAND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CID000058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Gold</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AngloGold Ashanti Corrego</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CID000460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F&amp;X Electro-Materials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CID000616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Ximei Resources Guangdong</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CID000914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JiuJiang JinXin Nonferrous Metals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CID000917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Jiujiang Tanbre</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CID001076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AMG Brasil</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CID001163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Metallurgical Products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CID001175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Mineracao Taboca S.A.</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CID001192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Mitsui Mining and Smelting</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CID001200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NPM Silmet AS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ESTONIA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CID001277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Ningxia Orient Tantalum Industry</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CID001522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Yanling Jincheng Tantalum &amp; Niobium</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CID001869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Taki Chemical</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CID001891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Telex Metals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CID000291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Guangdong Rising Rare Metals-EO Materials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CID001969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Ulba Metallurgical Plant JSC</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KAZAKHSTAN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 Block Metals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FIR Metals &amp; Resource</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Jiujiang Zhongao Tantalum &amp; Niobium</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XinXing HaoRong Electronic Material</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CID002512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Dinghai Tantalum &amp; Niobium</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CID002492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Hengyang King Xing Lifeng New Materials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CID002539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Kemet de Mexico</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MEXICO</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Taniobis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THAILAND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Taniobis GmbH</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Materion Newton</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TANIOBIS Japan</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CID002550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TANIOBIS Smelting GmbH</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CID002557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Global Advanced Metals Boyertown</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CID002558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Global Advanced Metals Aizu</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CID002707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Resind Industria e Comercio</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CID002842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Tuohong New Raw Material</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CID003583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Yancheng Jinye New Material Technology</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CID003926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5D Production OU</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ESTONIA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CID004054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PowerX</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RWANDA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CID001769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Solikamsk Magnesium Works OAO</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CID004813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Suns Nonferrous Materials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CID001508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QuantumClean</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CID001508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QuantumClean</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CID000211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Changsha South Tantalum Niobium</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CID000456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Exotech</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CID003191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Jiujiang Janny New Material</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CID002556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Plansee SE Reutte</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AUSTRIA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CID002232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Tantalum</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Zhuzhou Cemented Carbide Group</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CID000228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Chenzhou Yunxiang Mining and Metallurgy</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CID000292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Alpha Assembly Solutions</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CID000313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Premium Tin Indonesia</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CID000402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Dowa</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CID000438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 Vinto</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BOLIVIA</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CID000448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Estanho de Rondonia S.A.</w:t>
            </w:r>
          </w:p>
        </w:tc>
        <w:tc>
          <w:tcPr>
            <w:tcW w:w="1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BRAZIL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-5875655</wp:posOffset>
            </wp:positionV>
            <wp:extent cx="5419725" cy="5874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9725" cy="5874385"/>
                    </a:xfrm>
                    <a:prstGeom prst="rect">
                      <a:avLst/>
                    </a:prstGeom>
                    <a:noFill/>
                  </pic:spPr>
                </pic:pic>
              </a:graphicData>
            </a:graphic>
          </wp:anchor>
        </w:drawing>
      </w:r>
    </w:p>
    <w:p>
      <w:pPr>
        <w:sectPr>
          <w:pgSz w:w="11900" w:h="16838" w:orient="portrait"/>
          <w:cols w:equalWidth="0" w:num="1">
            <w:col w:w="9019"/>
          </w:cols>
          <w:pgMar w:left="1440" w:top="1424" w:right="1440" w:bottom="1440" w:gutter="0" w:footer="0" w:header="0"/>
        </w:sectPr>
      </w:pPr>
    </w:p>
    <w:bookmarkStart w:id="10" w:name="page11"/>
    <w:bookmarkEnd w:id="10"/>
    <w:tbl>
      <w:tblPr>
        <w:tblLayout w:type="fixed"/>
        <w:tblInd w:w="36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CID000468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Fenix Metals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POLAND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CID000538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Gejiu Non-Ferrous Metal Processing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CID001070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China Tin Group</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CID001105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Malaysia Smelting Corporation</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MALAYSIA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CID001142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Metallic Resources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CID001173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Mineracao Taboca S.A.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Minsur</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PERU</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CID001191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Mitsubishi Materials Corporation</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CID001231</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Jiangxi New Nanshan Technology</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CID001314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O.M. Manufacturing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THAILAND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CID001453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Mitra Stania Prima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CID001458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Prima Timah Utama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CID001477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Timah Tbk Kundur</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Timah Tbk Mentok</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CID001539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Rui Da Hung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CID001898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Thaisarco</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THAILAND</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CID001908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Gejiu Yunxin Nonferrous Electrolysis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CID002036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White Solder Metalurgia e Mineracao</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CID002158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Yunnan Chengfeng Non-ferrous Metals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CID002180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Tin Smelting Branch of Yunnan Tin</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CID002468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Magnu's Minerais Metais e Ligas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Melt Metais e Ligas S.A.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ATD Makmur Mandiri Jaya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CID002517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O.M. Manufacturing Philippines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PHILIPPINES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CID002570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CV Ayi Jaya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CID002572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Cao Bang Minerals Electro-Mechanical</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CID002574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Tuyen Quang Non-Ferrous Metals JSC</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CID002593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Rajehan Ariq</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CID002696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Cipta Persada Mulia</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CID002703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An Vinh Joint Stock Mineral Processing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CID002706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Resind Industria e Comercio</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CID002756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Super Ligas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CID002773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Aurubis Beerse</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BELGIUM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CID002774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Aurubis Berango</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SPAIN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CID002776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Bangka Prima Tin</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CID002858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Modeltech</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MALAYSIA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CID003116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Guangdong Hanhe Non-Ferrous Metal</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CID003190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Chifeng Dajingzi Tin Industry</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CID003325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Tin Technology &amp; Refining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CID003356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CiEXPO Environmental</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CID003379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Ma'anshan Weitai</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CID003387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Luna Smelter</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RWANDA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CID003397</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Yunnan Yunfan Non-Ferrous Metals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CID003409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Precious Minerals and Smelting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CID003410</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Gejiu City Fuxiang Industry and Trade</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CID003449</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Mitra Sukses Globalindo</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CID003486</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CRM Fundicao De Metais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CID003524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CRM Synergies</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SPAIN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CID003582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Fabrica Auricchio Industria e Comercio</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CID003868</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PT Putera Sarana Shakti</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CID004065</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Mining Minerals Resources SARL</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DRC</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CID004403</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Takehara PVD Materials Plant</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CID004434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Malaysia Smelting Corporation Berhad</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MALAYSIA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CID004692</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Rikayaa Greentech</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INDIA</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CID004724</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Woodcross Smelting</w:t>
            </w: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UGANDA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-5772785</wp:posOffset>
            </wp:positionV>
            <wp:extent cx="5419725" cy="577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9725" cy="5771515"/>
                    </a:xfrm>
                    <a:prstGeom prst="rect">
                      <a:avLst/>
                    </a:prstGeom>
                    <a:noFill/>
                  </pic:spPr>
                </pic:pic>
              </a:graphicData>
            </a:graphic>
          </wp:anchor>
        </w:drawing>
      </w:r>
    </w:p>
    <w:p>
      <w:pPr>
        <w:sectPr>
          <w:pgSz w:w="11900" w:h="16838" w:orient="portrait"/>
          <w:cols w:equalWidth="0" w:num="1">
            <w:col w:w="9019"/>
          </w:cols>
          <w:pgMar w:left="1440" w:top="1424" w:right="1440" w:bottom="1440" w:gutter="0" w:footer="0" w:header="0"/>
        </w:sectPr>
      </w:pPr>
    </w:p>
    <w:bookmarkStart w:id="11" w:name="page12"/>
    <w:bookmarkEnd w:id="11"/>
    <w:tbl>
      <w:tblPr>
        <w:tblLayout w:type="fixed"/>
        <w:tblInd w:w="36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CID004754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Global Advanced Metals Greenbushes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AUSTRALIA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CID004796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Longnan Chuangyue Environmental</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CID000377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Dongguan Best Alloys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CID000555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Gejiu Zili Mining And Metallurgy</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CID000942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Gejiu Kai Meng Industry and Trade</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CID001305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Novosibirsk Tin Combine</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CID002015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VQB Mineral and Trading Group JSC</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 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CID002573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Nghe Tinh Non-Ferrous Metals JSC</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 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CID005067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Arsed Indonesia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CID005189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 Kay Metal</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CID003380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Masbro Alam Stania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CID002844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HuiChang Hill Tin Industry</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CID003208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Pongpipat Company</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MYANMAR</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CID001399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Artha Cipta Langgeng</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CID001460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Refined Bangka Tin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CID001486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Timah Nusantara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CID001463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Sariwiguna Binasentosa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CID001493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Tommy Utama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CID000309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Aries Kencana Sejahtera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CID001402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Babel Inti Perkasa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CID001406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Babel Surya Alam Lestari</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CID001468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Stanindo Inti Perkasa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CID003205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Bangka Serumpun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CID003381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Rajawali Rimba Perkasa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CID001428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Bukit Timah</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CID002455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CV Venus Inti Perkasa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CID003831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DS Myanmar</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MYANMAR</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CID001421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Belitung Industri Sejahtera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CID001490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Tinindo Inter Nusa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CID002816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Sukses Inti Makmur</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CID002835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Menara Cipta Mulia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CID002478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Tirus Putra Mandiri</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CID001457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Panca Mega Persada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CID001758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Soft Metais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CID001337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Operaciones Metalurgicas S.A.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BOLIVIA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CID000466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Feinhutte Halsbrucke GmbH</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CID001419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Tin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PT Bangka Tin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INDONESIA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CID000258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Chongyi Zhangyuan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CID000281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CNMC PGMA</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CID000568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Global Tungsten &amp; Powders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CID000825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Japan New Metals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JAPAN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CID000966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Kennametal Fallon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CID002044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Wolfram Bergbau und Hutten AG</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AUSTRIA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CID002082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Xiamen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Minmetals Gao'an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Ganzhou Jiangwu Ferrotungsten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Yaosheng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Xinsheng Tungsten Industry</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Tonggu Non-Ferrous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CID002319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Malipo Haiyu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CID002320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Xiamen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CID002321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Jiangxi Gan Bei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CID002494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Ganzhou Seadragon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CID002502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Asia Tungsten Products Vietnam</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CID002513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Hunan Shizhuyuan Nonferrous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H.C. Starck Tungsten GmbH</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TANIOBIS Smelting GmbH</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GERMANY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CID002543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Masan High-Tech Materials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CID002551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Jiangwu H.C. Starck Tungsten Products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CID002589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Niagara Refining LLC</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CID002641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China Molybdenum Tungsten</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CHINA</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CID003407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3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Lianyou Metals</w:t>
            </w:r>
          </w:p>
        </w:tc>
        <w:tc>
          <w:tcPr>
            <w:tcW w:w="1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TAIWAN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-6492875</wp:posOffset>
            </wp:positionV>
            <wp:extent cx="5419725" cy="6491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9725" cy="6491605"/>
                    </a:xfrm>
                    <a:prstGeom prst="rect">
                      <a:avLst/>
                    </a:prstGeom>
                    <a:noFill/>
                  </pic:spPr>
                </pic:pic>
              </a:graphicData>
            </a:graphic>
          </wp:anchor>
        </w:drawing>
      </w:r>
    </w:p>
    <w:p>
      <w:pPr>
        <w:sectPr>
          <w:pgSz w:w="11900" w:h="16838" w:orient="portrait"/>
          <w:cols w:equalWidth="0" w:num="1">
            <w:col w:w="9019"/>
          </w:cols>
          <w:pgMar w:left="1440" w:top="1424" w:right="1440" w:bottom="1440" w:gutter="0" w:footer="0" w:header="0"/>
        </w:sectPr>
      </w:pPr>
    </w:p>
    <w:bookmarkStart w:id="12" w:name="page13"/>
    <w:bookmarkEnd w:id="12"/>
    <w:tbl>
      <w:tblPr>
        <w:tblLayout w:type="fixed"/>
        <w:tblInd w:w="1480" w:type="dxa"/>
        <w:tblCellMar>
          <w:top w:w="0" w:type="dxa"/>
          <w:left w:w="0" w:type="dxa"/>
          <w:bottom w:w="0" w:type="dxa"/>
          <w:right w:w="0" w:type="dxa"/>
        </w:tblCellMar>
      </w:tblPr>
      <w:tr>
        <w:trPr>
          <w:trHeight w:val="164"/>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CID</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Smelter or Refiner Name</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Country</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CID003417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Hubei Green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CID003427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Albasteel Fundicao</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CID003468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Cronimet Brasil</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CID003609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Fujian Xinlu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CID003662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Yudu Ansheng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CID003993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Tungsten Vietnam JSC</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CID004034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Nam Viet Cromit JSC</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CID004397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Lianyou Resources</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CID004430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Shinwon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CID004619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Kenee Mining</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CID000769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Hunan Jintai New Material</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CID002649</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Hydrometallurg, JSC</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CID002724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Unecha Refractory Metals</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CID002845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Moliren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CID003408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JSC Kirovgrad Hard Alloys Plant</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CID003416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NPP Tyazhmetprom</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CID003612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OOO Technolom 2</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CID003614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OOO Technolom 1</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CID004438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Philippine Carreytech Metal</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PHILIPPINES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CID004797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Philippine Bonway Manufacturing</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PHILIPPINES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CID000875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Ganzhou Huaxing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CID002833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ACL Metais Eireli</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BRAZIL</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CID003553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Artek</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CID004060</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Dongkuk Industries</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CID003978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Hannae</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KOREA, REPUBLIC OF</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CID003643</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LLC Vostok</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RUSSIAN FEDERATION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CID004056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Malamet Smelting</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MALAYSIA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CID002827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Philippine Chuangxin Industrial</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PHILIPPINES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CID000766</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Hunan Chenzhou Mining</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CID000105</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Kennametal Huntsville</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USA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CID002538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Sanher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VIETNAM</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CID005017</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Southern Mining Smelting</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LAOS</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CID005012</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Jing Yuan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TAIWAN</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CID005068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S.P.T. Spol.s.r.o</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CZECHIA</w:t>
            </w:r>
          </w:p>
        </w:tc>
      </w:tr>
      <w:tr>
        <w:trPr>
          <w:trHeight w:val="16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CID000004</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A.L.M.T. Corp.</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JAPAN</w:t>
            </w:r>
          </w:p>
        </w:tc>
      </w:tr>
      <w:tr>
        <w:trPr>
          <w:trHeight w:val="188"/>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CID000218</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Tungsten</w:t>
            </w:r>
          </w:p>
        </w:tc>
        <w:tc>
          <w:tcPr>
            <w:tcW w:w="2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Guangdong Xianglu Tungsten</w:t>
            </w:r>
          </w:p>
        </w:tc>
        <w:tc>
          <w:tcPr>
            <w:tcW w:w="21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-3818255</wp:posOffset>
            </wp:positionV>
            <wp:extent cx="5419725" cy="381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9725" cy="3816985"/>
                    </a:xfrm>
                    <a:prstGeom prst="rect">
                      <a:avLst/>
                    </a:prstGeom>
                    <a:noFill/>
                  </pic:spPr>
                </pic:pic>
              </a:graphicData>
            </a:graphic>
          </wp:anchor>
        </w:drawing>
      </w:r>
    </w:p>
    <w:p>
      <w:pPr>
        <w:spacing w:after="0" w:line="3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Department of Treasury, Office of Foreign Assets Control designated African Gold Refinery (“</w:t>
      </w:r>
      <w:r>
        <w:rPr>
          <w:rFonts w:ascii="Times New Roman" w:cs="Times New Roman" w:eastAsia="Times New Roman" w:hAnsi="Times New Roman"/>
          <w:sz w:val="18"/>
          <w:szCs w:val="18"/>
          <w:u w:val="single" w:color="auto"/>
          <w:color w:val="auto"/>
        </w:rPr>
        <w:t>AGR</w:t>
      </w:r>
      <w:r>
        <w:rPr>
          <w:rFonts w:ascii="Times New Roman" w:cs="Times New Roman" w:eastAsia="Times New Roman" w:hAnsi="Times New Roman"/>
          <w:sz w:val="18"/>
          <w:szCs w:val="18"/>
          <w:color w:val="auto"/>
        </w:rPr>
        <w:t>”) (CID003185) as a Specially Designated National on March 17, 2022. The Company did not identify any direct transactions or contractual relationships with AGR. However, thirty-seven of our suppliers reported that they utilized AGR in their supply chain. Due to the over-reporting nature of the information collection process, and the nature of our and our subsidiaries’ supply chains, we are unable to confirm whether or not this entity, or any smelter or refiner, is or was active in our supply chain. We have initiated risk mitigation activities as part of our risk management plan, that includes notifying our Tier 1 Suppliers of the presence of this smelter and requesting either item-level reporting on the use of Designated Minerals in the actual products sold to NOV, or requesting their action to address and remove the smelter(s) or refiner(s) from their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2026-05-29T09:00:40Z</dcterms:created>
  <dcterms:modified xsi:type="dcterms:W3CDTF">2026-05-29T09:00:40Z</dcterms:modified>
</cp:coreProperties>
</file>