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64135</wp:posOffset>
            </wp:positionV>
            <wp:extent cx="14300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1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87630</wp:posOffset>
            </wp:positionV>
            <wp:extent cx="14300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19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31" w:lineRule="exact"/>
        <w:rPr>
          <w:sz w:val="24"/>
          <w:szCs w:val="24"/>
          <w:color w:val="auto"/>
        </w:rPr>
      </w:pPr>
    </w:p>
    <w:p>
      <w:pPr>
        <w:ind w:left="620" w:right="140" w:hanging="599"/>
        <w:spacing w:after="0" w:line="244" w:lineRule="auto"/>
        <w:tabs>
          <w:tab w:leader="none" w:pos="620" w:val="left"/>
        </w:tabs>
        <w:numPr>
          <w:ilvl w:val="0"/>
          <w:numId w:val="1"/>
        </w:numPr>
        <w:rPr>
          <w:rFonts w:ascii="MS PGothic" w:cs="MS PGothic" w:eastAsia="MS PGothic" w:hAnsi="MS PGothic"/>
          <w:sz w:val="22"/>
          <w:szCs w:val="22"/>
          <w:color w:val="auto"/>
          <w:highlight w:val="black"/>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5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JUNE 30, 2024</w:t>
      </w:r>
    </w:p>
    <w:p>
      <w:pPr>
        <w:spacing w:after="0" w:line="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94" w:lineRule="exact"/>
        <w:rPr>
          <w:sz w:val="24"/>
          <w:szCs w:val="24"/>
          <w:color w:val="auto"/>
        </w:rPr>
      </w:pPr>
    </w:p>
    <w:p>
      <w:pPr>
        <w:ind w:left="620" w:right="120" w:hanging="599"/>
        <w:spacing w:after="0" w:line="261" w:lineRule="auto"/>
        <w:tabs>
          <w:tab w:leader="none" w:pos="620" w:val="left"/>
        </w:tabs>
        <w:numPr>
          <w:ilvl w:val="0"/>
          <w:numId w:val="2"/>
        </w:numPr>
        <w:rPr>
          <w:rFonts w:ascii="MS PGothic" w:cs="MS PGothic" w:eastAsia="MS PGothic" w:hAnsi="MS PGothic"/>
          <w:sz w:val="22"/>
          <w:szCs w:val="22"/>
          <w:color w:val="auto"/>
          <w:highlight w:val="black"/>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w:t>
      </w:r>
      <w:r>
        <w:rPr>
          <w:rFonts w:ascii="Times New Roman" w:cs="Times New Roman" w:eastAsia="Times New Roman" w:hAnsi="Times New Roman"/>
          <w:sz w:val="18"/>
          <w:szCs w:val="18"/>
          <w:b w:val="1"/>
          <w:bCs w:val="1"/>
          <w:u w:val="single" w:color="auto"/>
          <w:color w:val="auto"/>
        </w:rPr>
        <w:t>mmission File Number 1-123</w:t>
      </w:r>
      <w:r>
        <w:rPr>
          <w:rFonts w:ascii="Times New Roman" w:cs="Times New Roman" w:eastAsia="Times New Roman" w:hAnsi="Times New Roman"/>
          <w:sz w:val="18"/>
          <w:szCs w:val="18"/>
          <w:b w:val="1"/>
          <w:bCs w:val="1"/>
          <w:color w:val="auto"/>
        </w:rPr>
        <w:t>17</w:t>
      </w:r>
    </w:p>
    <w:p>
      <w:pPr>
        <w:spacing w:after="0" w:line="16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NOV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w:t>
      </w:r>
      <w:r>
        <w:rPr>
          <w:rFonts w:ascii="Times New Roman" w:cs="Times New Roman" w:eastAsia="Times New Roman" w:hAnsi="Times New Roman"/>
          <w:sz w:val="18"/>
          <w:szCs w:val="18"/>
          <w:b w:val="1"/>
          <w:bCs w:val="1"/>
          <w:u w:val="single" w:color="auto"/>
          <w:color w:val="auto"/>
        </w:rPr>
        <w:t>e of registrant as specified in</w:t>
      </w:r>
      <w:r>
        <w:rPr>
          <w:rFonts w:ascii="Times New Roman" w:cs="Times New Roman" w:eastAsia="Times New Roman" w:hAnsi="Times New Roman"/>
          <w:sz w:val="18"/>
          <w:szCs w:val="18"/>
          <w:b w:val="1"/>
          <w:bCs w:val="1"/>
          <w:color w:val="auto"/>
        </w:rPr>
        <w:t xml:space="preserve"> its charter)</w:t>
      </w:r>
    </w:p>
    <w:p>
      <w:pPr>
        <w:spacing w:after="0" w:line="187" w:lineRule="exact"/>
        <w:rPr>
          <w:sz w:val="24"/>
          <w:szCs w:val="24"/>
          <w:color w:val="auto"/>
        </w:rPr>
      </w:pPr>
    </w:p>
    <w:tbl>
      <w:tblPr>
        <w:tblLayout w:type="fixed"/>
        <w:tblInd w:w="10" w:type="dxa"/>
        <w:tblCellMar>
          <w:top w:w="0" w:type="dxa"/>
          <w:left w:w="0" w:type="dxa"/>
          <w:bottom w:w="0" w:type="dxa"/>
          <w:right w:w="0" w:type="dxa"/>
        </w:tblCellMar>
      </w:tblPr>
      <w:tr>
        <w:trPr>
          <w:trHeight w:val="238"/>
        </w:trPr>
        <w:tc>
          <w:tcPr>
            <w:tcW w:w="3360" w:type="dxa"/>
            <w:vAlign w:val="bottom"/>
          </w:tcPr>
          <w:p>
            <w:pPr>
              <w:jc w:val="center"/>
              <w:ind w:left="2125"/>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40" w:type="dxa"/>
            <w:vAlign w:val="bottom"/>
          </w:tcPr>
          <w:p>
            <w:pPr>
              <w:jc w:val="center"/>
              <w:ind w:right="2025"/>
              <w:spacing w:after="0"/>
              <w:rPr>
                <w:sz w:val="20"/>
                <w:szCs w:val="20"/>
                <w:color w:val="auto"/>
              </w:rPr>
            </w:pPr>
            <w:r>
              <w:rPr>
                <w:rFonts w:ascii="Times New Roman" w:cs="Times New Roman" w:eastAsia="Times New Roman" w:hAnsi="Times New Roman"/>
                <w:sz w:val="18"/>
                <w:szCs w:val="18"/>
                <w:b w:val="1"/>
                <w:bCs w:val="1"/>
                <w:color w:val="auto"/>
                <w:w w:val="98"/>
              </w:rPr>
              <w:t>76-0475815</w:t>
            </w:r>
          </w:p>
        </w:tc>
      </w:tr>
      <w:tr>
        <w:trPr>
          <w:trHeight w:val="151"/>
        </w:trPr>
        <w:tc>
          <w:tcPr>
            <w:tcW w:w="7800" w:type="dxa"/>
            <w:vAlign w:val="bottom"/>
            <w:gridSpan w:val="6"/>
          </w:tcPr>
          <w:p>
            <w:pPr>
              <w:jc w:val="center"/>
              <w:ind w:right="2240"/>
              <w:spacing w:after="0" w:line="151"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3440" w:type="dxa"/>
            <w:vAlign w:val="bottom"/>
          </w:tcPr>
          <w:p>
            <w:pPr>
              <w:jc w:val="center"/>
              <w:ind w:right="2025"/>
              <w:spacing w:after="0" w:line="151"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88"/>
        </w:trPr>
        <w:tc>
          <w:tcPr>
            <w:tcW w:w="7800" w:type="dxa"/>
            <w:vAlign w:val="bottom"/>
            <w:gridSpan w:val="6"/>
          </w:tcPr>
          <w:p>
            <w:pPr>
              <w:jc w:val="center"/>
              <w:ind w:right="2240"/>
              <w:spacing w:after="0"/>
              <w:rPr>
                <w:sz w:val="20"/>
                <w:szCs w:val="20"/>
                <w:color w:val="auto"/>
              </w:rPr>
            </w:pPr>
            <w:r>
              <w:rPr>
                <w:rFonts w:ascii="Times New Roman" w:cs="Times New Roman" w:eastAsia="Times New Roman" w:hAnsi="Times New Roman"/>
                <w:sz w:val="14"/>
                <w:szCs w:val="14"/>
                <w:b w:val="1"/>
                <w:bCs w:val="1"/>
                <w:color w:val="auto"/>
              </w:rPr>
              <w:t>of incorporation or organization)</w:t>
            </w:r>
          </w:p>
        </w:tc>
        <w:tc>
          <w:tcPr>
            <w:tcW w:w="3440" w:type="dxa"/>
            <w:vAlign w:val="bottom"/>
          </w:tcPr>
          <w:p>
            <w:pPr>
              <w:jc w:val="center"/>
              <w:ind w:right="2025"/>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00"/>
        </w:trPr>
        <w:tc>
          <w:tcPr>
            <w:tcW w:w="3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300" w:type="dxa"/>
            <w:vAlign w:val="bottom"/>
            <w:gridSpan w:val="3"/>
          </w:tcPr>
          <w:p>
            <w:pPr>
              <w:jc w:val="center"/>
              <w:ind w:right="1040"/>
              <w:spacing w:after="0"/>
              <w:rPr>
                <w:sz w:val="20"/>
                <w:szCs w:val="20"/>
                <w:color w:val="auto"/>
              </w:rPr>
            </w:pPr>
            <w:r>
              <w:rPr>
                <w:rFonts w:ascii="Times New Roman" w:cs="Times New Roman" w:eastAsia="Times New Roman" w:hAnsi="Times New Roman"/>
                <w:sz w:val="18"/>
                <w:szCs w:val="18"/>
                <w:b w:val="1"/>
                <w:bCs w:val="1"/>
                <w:color w:val="auto"/>
                <w:w w:val="98"/>
              </w:rPr>
              <w:t>10353 Richmond Avenue</w:t>
            </w:r>
          </w:p>
        </w:tc>
        <w:tc>
          <w:tcPr>
            <w:tcW w:w="3440" w:type="dxa"/>
            <w:vAlign w:val="bottom"/>
          </w:tcPr>
          <w:p>
            <w:pPr>
              <w:spacing w:after="0"/>
              <w:rPr>
                <w:sz w:val="24"/>
                <w:szCs w:val="24"/>
                <w:color w:val="auto"/>
              </w:rPr>
            </w:pPr>
          </w:p>
        </w:tc>
      </w:tr>
      <w:tr>
        <w:trPr>
          <w:trHeight w:val="216"/>
        </w:trPr>
        <w:tc>
          <w:tcPr>
            <w:tcW w:w="3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300" w:type="dxa"/>
            <w:vAlign w:val="bottom"/>
            <w:gridSpan w:val="3"/>
          </w:tcPr>
          <w:p>
            <w:pPr>
              <w:jc w:val="center"/>
              <w:ind w:right="1060"/>
              <w:spacing w:after="0"/>
              <w:rPr>
                <w:sz w:val="20"/>
                <w:szCs w:val="20"/>
                <w:color w:val="auto"/>
              </w:rPr>
            </w:pPr>
            <w:r>
              <w:rPr>
                <w:rFonts w:ascii="Times New Roman" w:cs="Times New Roman" w:eastAsia="Times New Roman" w:hAnsi="Times New Roman"/>
                <w:sz w:val="18"/>
                <w:szCs w:val="18"/>
                <w:b w:val="1"/>
                <w:bCs w:val="1"/>
                <w:color w:val="auto"/>
                <w:w w:val="97"/>
              </w:rPr>
              <w:t>Houston, Texas</w:t>
            </w:r>
          </w:p>
        </w:tc>
        <w:tc>
          <w:tcPr>
            <w:tcW w:w="3440" w:type="dxa"/>
            <w:vAlign w:val="bottom"/>
          </w:tcPr>
          <w:p>
            <w:pPr>
              <w:spacing w:after="0"/>
              <w:rPr>
                <w:sz w:val="18"/>
                <w:szCs w:val="18"/>
                <w:color w:val="auto"/>
              </w:rPr>
            </w:pPr>
          </w:p>
        </w:tc>
      </w:tr>
      <w:tr>
        <w:trPr>
          <w:trHeight w:val="216"/>
        </w:trPr>
        <w:tc>
          <w:tcPr>
            <w:tcW w:w="3360" w:type="dxa"/>
            <w:vAlign w:val="bottom"/>
          </w:tcPr>
          <w:p>
            <w:pPr>
              <w:spacing w:after="0"/>
              <w:rPr>
                <w:sz w:val="18"/>
                <w:szCs w:val="18"/>
                <w:color w:val="auto"/>
              </w:rPr>
            </w:pPr>
          </w:p>
        </w:tc>
        <w:tc>
          <w:tcPr>
            <w:tcW w:w="3380" w:type="dxa"/>
            <w:vAlign w:val="bottom"/>
            <w:gridSpan w:val="3"/>
          </w:tcPr>
          <w:p>
            <w:pPr>
              <w:jc w:val="right"/>
              <w:ind w:right="599"/>
              <w:spacing w:after="0"/>
              <w:rPr>
                <w:sz w:val="20"/>
                <w:szCs w:val="20"/>
                <w:color w:val="auto"/>
              </w:rPr>
            </w:pPr>
            <w:r>
              <w:rPr>
                <w:rFonts w:ascii="Times New Roman" w:cs="Times New Roman" w:eastAsia="Times New Roman" w:hAnsi="Times New Roman"/>
                <w:sz w:val="18"/>
                <w:szCs w:val="18"/>
                <w:b w:val="1"/>
                <w:bCs w:val="1"/>
                <w:color w:val="auto"/>
              </w:rPr>
              <w:t>77042-4103</w:t>
            </w: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40" w:type="dxa"/>
            <w:vAlign w:val="bottom"/>
          </w:tcPr>
          <w:p>
            <w:pPr>
              <w:spacing w:after="0"/>
              <w:rPr>
                <w:sz w:val="18"/>
                <w:szCs w:val="18"/>
                <w:color w:val="auto"/>
              </w:rPr>
            </w:pPr>
          </w:p>
        </w:tc>
      </w:tr>
      <w:tr>
        <w:trPr>
          <w:trHeight w:val="238"/>
        </w:trPr>
        <w:tc>
          <w:tcPr>
            <w:tcW w:w="33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40" w:type="dxa"/>
            <w:vAlign w:val="bottom"/>
            <w:gridSpan w:val="4"/>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3440" w:type="dxa"/>
            <w:vAlign w:val="bottom"/>
          </w:tcPr>
          <w:p>
            <w:pPr>
              <w:spacing w:after="0"/>
              <w:rPr>
                <w:sz w:val="20"/>
                <w:szCs w:val="20"/>
                <w:color w:val="auto"/>
              </w:rPr>
            </w:pPr>
          </w:p>
        </w:tc>
      </w:tr>
      <w:tr>
        <w:trPr>
          <w:trHeight w:val="342"/>
        </w:trPr>
        <w:tc>
          <w:tcPr>
            <w:tcW w:w="3360" w:type="dxa"/>
            <w:vAlign w:val="bottom"/>
          </w:tcPr>
          <w:p>
            <w:pPr>
              <w:spacing w:after="0"/>
              <w:rPr>
                <w:sz w:val="24"/>
                <w:szCs w:val="24"/>
                <w:color w:val="auto"/>
              </w:rPr>
            </w:pPr>
          </w:p>
        </w:tc>
        <w:tc>
          <w:tcPr>
            <w:tcW w:w="3380" w:type="dxa"/>
            <w:vAlign w:val="bottom"/>
            <w:gridSpan w:val="3"/>
          </w:tcPr>
          <w:p>
            <w:pPr>
              <w:jc w:val="right"/>
              <w:ind w:right="479"/>
              <w:spacing w:after="0"/>
              <w:rPr>
                <w:sz w:val="20"/>
                <w:szCs w:val="20"/>
                <w:color w:val="auto"/>
              </w:rPr>
            </w:pPr>
            <w:r>
              <w:rPr>
                <w:rFonts w:ascii="Times New Roman" w:cs="Times New Roman" w:eastAsia="Times New Roman" w:hAnsi="Times New Roman"/>
                <w:sz w:val="18"/>
                <w:szCs w:val="18"/>
                <w:b w:val="1"/>
                <w:bCs w:val="1"/>
                <w:color w:val="auto"/>
              </w:rPr>
              <w:t>(346) 223-3000</w:t>
            </w: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40" w:type="dxa"/>
            <w:vAlign w:val="bottom"/>
          </w:tcPr>
          <w:p>
            <w:pPr>
              <w:spacing w:after="0"/>
              <w:rPr>
                <w:sz w:val="24"/>
                <w:szCs w:val="24"/>
                <w:color w:val="auto"/>
              </w:rPr>
            </w:pPr>
          </w:p>
        </w:tc>
      </w:tr>
      <w:tr>
        <w:trPr>
          <w:trHeight w:val="238"/>
        </w:trPr>
        <w:tc>
          <w:tcPr>
            <w:tcW w:w="3360" w:type="dxa"/>
            <w:vAlign w:val="bottom"/>
          </w:tcPr>
          <w:p>
            <w:pPr>
              <w:spacing w:after="0"/>
              <w:rPr>
                <w:sz w:val="20"/>
                <w:szCs w:val="20"/>
                <w:color w:val="auto"/>
              </w:rPr>
            </w:pPr>
          </w:p>
        </w:tc>
        <w:tc>
          <w:tcPr>
            <w:tcW w:w="4440" w:type="dxa"/>
            <w:vAlign w:val="bottom"/>
            <w:gridSpan w:val="5"/>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w:t>
            </w:r>
          </w:p>
        </w:tc>
        <w:tc>
          <w:tcPr>
            <w:tcW w:w="3440" w:type="dxa"/>
            <w:vAlign w:val="bottom"/>
          </w:tcPr>
          <w:p>
            <w:pPr>
              <w:spacing w:after="0"/>
              <w:rPr>
                <w:sz w:val="20"/>
                <w:szCs w:val="20"/>
                <w:color w:val="auto"/>
              </w:rPr>
            </w:pPr>
          </w:p>
        </w:tc>
      </w:tr>
      <w:tr>
        <w:trPr>
          <w:trHeight w:val="20"/>
        </w:trPr>
        <w:tc>
          <w:tcPr>
            <w:tcW w:w="3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4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r>
      <w:tr>
        <w:trPr>
          <w:trHeight w:val="304"/>
        </w:trPr>
        <w:tc>
          <w:tcPr>
            <w:tcW w:w="3360" w:type="dxa"/>
            <w:vAlign w:val="bottom"/>
          </w:tcPr>
          <w:p>
            <w:pPr>
              <w:spacing w:after="0"/>
              <w:rPr>
                <w:sz w:val="24"/>
                <w:szCs w:val="24"/>
                <w:color w:val="auto"/>
              </w:rPr>
            </w:pPr>
          </w:p>
        </w:tc>
        <w:tc>
          <w:tcPr>
            <w:tcW w:w="4440" w:type="dxa"/>
            <w:vAlign w:val="bottom"/>
            <w:gridSpan w:val="5"/>
          </w:tcPr>
          <w:p>
            <w:pPr>
              <w:jc w:val="center"/>
              <w:ind w:left="10"/>
              <w:spacing w:after="0"/>
              <w:rPr>
                <w:sz w:val="20"/>
                <w:szCs w:val="20"/>
                <w:color w:val="auto"/>
              </w:rPr>
            </w:pPr>
            <w:r>
              <w:rPr>
                <w:rFonts w:ascii="Times New Roman" w:cs="Times New Roman" w:eastAsia="Times New Roman" w:hAnsi="Times New Roman"/>
                <w:sz w:val="18"/>
                <w:szCs w:val="18"/>
                <w:color w:val="auto"/>
                <w:w w:val="99"/>
              </w:rPr>
              <w:t>Securities registered pursuant to Section 12(b) of the Act:</w:t>
            </w:r>
          </w:p>
        </w:tc>
        <w:tc>
          <w:tcPr>
            <w:tcW w:w="3440" w:type="dxa"/>
            <w:vAlign w:val="bottom"/>
          </w:tcPr>
          <w:p>
            <w:pPr>
              <w:spacing w:after="0"/>
              <w:rPr>
                <w:sz w:val="24"/>
                <w:szCs w:val="24"/>
                <w:color w:val="auto"/>
              </w:rPr>
            </w:pPr>
          </w:p>
        </w:tc>
      </w:tr>
      <w:tr>
        <w:trPr>
          <w:trHeight w:val="78"/>
        </w:trPr>
        <w:tc>
          <w:tcPr>
            <w:tcW w:w="3360" w:type="dxa"/>
            <w:vAlign w:val="bottom"/>
            <w:tcBorders>
              <w:bottom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3020" w:type="dxa"/>
            <w:vAlign w:val="bottom"/>
            <w:tcBorders>
              <w:bottom w:val="single" w:sz="8" w:color="auto"/>
            </w:tcBorders>
            <w:gridSpan w:val="2"/>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3440" w:type="dxa"/>
            <w:vAlign w:val="bottom"/>
            <w:tcBorders>
              <w:bottom w:val="single" w:sz="8" w:color="auto"/>
            </w:tcBorders>
          </w:tcPr>
          <w:p>
            <w:pPr>
              <w:spacing w:after="0"/>
              <w:rPr>
                <w:sz w:val="6"/>
                <w:szCs w:val="6"/>
                <w:color w:val="auto"/>
              </w:rPr>
            </w:pPr>
          </w:p>
        </w:tc>
      </w:tr>
      <w:tr>
        <w:trPr>
          <w:trHeight w:val="214"/>
        </w:trPr>
        <w:tc>
          <w:tcPr>
            <w:tcW w:w="3360" w:type="dxa"/>
            <w:vAlign w:val="bottom"/>
            <w:tcBorders>
              <w:left w:val="single" w:sz="8" w:color="auto"/>
            </w:tcBorders>
          </w:tcPr>
          <w:p>
            <w:pPr>
              <w:jc w:val="center"/>
              <w:ind w:left="325"/>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400" w:type="dxa"/>
            <w:vAlign w:val="bottom"/>
            <w:tcBorders>
              <w:right w:val="single" w:sz="8" w:color="auto"/>
            </w:tcBorders>
          </w:tcPr>
          <w:p>
            <w:pPr>
              <w:spacing w:after="0"/>
              <w:rPr>
                <w:sz w:val="18"/>
                <w:szCs w:val="18"/>
                <w:color w:val="auto"/>
              </w:rPr>
            </w:pPr>
          </w:p>
        </w:tc>
        <w:tc>
          <w:tcPr>
            <w:tcW w:w="740" w:type="dxa"/>
            <w:vAlign w:val="bottom"/>
          </w:tcPr>
          <w:p>
            <w:pPr>
              <w:spacing w:after="0"/>
              <w:rPr>
                <w:sz w:val="18"/>
                <w:szCs w:val="18"/>
                <w:color w:val="auto"/>
              </w:rPr>
            </w:pPr>
          </w:p>
        </w:tc>
        <w:tc>
          <w:tcPr>
            <w:tcW w:w="3020" w:type="dxa"/>
            <w:vAlign w:val="bottom"/>
            <w:tcBorders>
              <w:right w:val="single" w:sz="8" w:color="auto"/>
            </w:tcBorders>
            <w:gridSpan w:val="2"/>
          </w:tcPr>
          <w:p>
            <w:pPr>
              <w:jc w:val="center"/>
              <w:ind w:right="760"/>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280" w:type="dxa"/>
            <w:vAlign w:val="bottom"/>
          </w:tcPr>
          <w:p>
            <w:pPr>
              <w:spacing w:after="0"/>
              <w:rPr>
                <w:sz w:val="18"/>
                <w:szCs w:val="18"/>
                <w:color w:val="auto"/>
              </w:rPr>
            </w:pPr>
          </w:p>
        </w:tc>
        <w:tc>
          <w:tcPr>
            <w:tcW w:w="3440" w:type="dxa"/>
            <w:vAlign w:val="bottom"/>
            <w:tcBorders>
              <w:right w:val="single" w:sz="8" w:color="auto"/>
            </w:tcBorders>
          </w:tcPr>
          <w:p>
            <w:pPr>
              <w:jc w:val="center"/>
              <w:ind w:right="225"/>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49"/>
        </w:trPr>
        <w:tc>
          <w:tcPr>
            <w:tcW w:w="3360" w:type="dxa"/>
            <w:vAlign w:val="bottom"/>
            <w:tcBorders>
              <w:left w:val="single" w:sz="8" w:color="auto"/>
              <w:bottom w:val="single" w:sz="8" w:color="auto"/>
            </w:tcBorders>
          </w:tcPr>
          <w:p>
            <w:pPr>
              <w:spacing w:after="0"/>
              <w:rPr>
                <w:sz w:val="4"/>
                <w:szCs w:val="4"/>
                <w:color w:val="auto"/>
              </w:rPr>
            </w:pPr>
          </w:p>
        </w:tc>
        <w:tc>
          <w:tcPr>
            <w:tcW w:w="400" w:type="dxa"/>
            <w:vAlign w:val="bottom"/>
            <w:tcBorders>
              <w:bottom w:val="single" w:sz="8" w:color="auto"/>
              <w:right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3020" w:type="dxa"/>
            <w:vAlign w:val="bottom"/>
            <w:tcBorders>
              <w:bottom w:val="single" w:sz="8" w:color="auto"/>
              <w:right w:val="single" w:sz="8" w:color="auto"/>
            </w:tcBorders>
            <w:gridSpan w:val="2"/>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3440" w:type="dxa"/>
            <w:vAlign w:val="bottom"/>
            <w:tcBorders>
              <w:bottom w:val="single" w:sz="8" w:color="auto"/>
              <w:right w:val="single" w:sz="8" w:color="auto"/>
            </w:tcBorders>
          </w:tcPr>
          <w:p>
            <w:pPr>
              <w:spacing w:after="0"/>
              <w:rPr>
                <w:sz w:val="4"/>
                <w:szCs w:val="4"/>
                <w:color w:val="auto"/>
              </w:rPr>
            </w:pPr>
          </w:p>
        </w:tc>
      </w:tr>
      <w:tr>
        <w:trPr>
          <w:trHeight w:val="228"/>
        </w:trPr>
        <w:tc>
          <w:tcPr>
            <w:tcW w:w="3360" w:type="dxa"/>
            <w:vAlign w:val="bottom"/>
            <w:tcBorders>
              <w:left w:val="single" w:sz="8" w:color="auto"/>
            </w:tcBorders>
          </w:tcPr>
          <w:p>
            <w:pPr>
              <w:jc w:val="center"/>
              <w:ind w:left="325"/>
              <w:spacing w:after="0"/>
              <w:rPr>
                <w:sz w:val="20"/>
                <w:szCs w:val="20"/>
                <w:color w:val="auto"/>
              </w:rPr>
            </w:pPr>
            <w:r>
              <w:rPr>
                <w:rFonts w:ascii="Times New Roman" w:cs="Times New Roman" w:eastAsia="Times New Roman" w:hAnsi="Times New Roman"/>
                <w:sz w:val="14"/>
                <w:szCs w:val="14"/>
                <w:color w:val="auto"/>
              </w:rPr>
              <w:t>Common Stock, par value $.01 per share</w:t>
            </w:r>
          </w:p>
        </w:tc>
        <w:tc>
          <w:tcPr>
            <w:tcW w:w="400" w:type="dxa"/>
            <w:vAlign w:val="bottom"/>
            <w:tcBorders>
              <w:right w:val="single" w:sz="8" w:color="auto"/>
            </w:tcBorders>
          </w:tcPr>
          <w:p>
            <w:pPr>
              <w:spacing w:after="0"/>
              <w:rPr>
                <w:sz w:val="19"/>
                <w:szCs w:val="19"/>
                <w:color w:val="auto"/>
              </w:rPr>
            </w:pPr>
          </w:p>
        </w:tc>
        <w:tc>
          <w:tcPr>
            <w:tcW w:w="740" w:type="dxa"/>
            <w:vAlign w:val="bottom"/>
          </w:tcPr>
          <w:p>
            <w:pPr>
              <w:spacing w:after="0"/>
              <w:rPr>
                <w:sz w:val="19"/>
                <w:szCs w:val="19"/>
                <w:color w:val="auto"/>
              </w:rPr>
            </w:pPr>
          </w:p>
        </w:tc>
        <w:tc>
          <w:tcPr>
            <w:tcW w:w="3020" w:type="dxa"/>
            <w:vAlign w:val="bottom"/>
            <w:tcBorders>
              <w:right w:val="single" w:sz="8" w:color="auto"/>
            </w:tcBorders>
            <w:gridSpan w:val="2"/>
          </w:tcPr>
          <w:p>
            <w:pPr>
              <w:jc w:val="center"/>
              <w:ind w:right="780"/>
              <w:spacing w:after="0"/>
              <w:rPr>
                <w:sz w:val="20"/>
                <w:szCs w:val="20"/>
                <w:color w:val="auto"/>
              </w:rPr>
            </w:pPr>
            <w:r>
              <w:rPr>
                <w:rFonts w:ascii="Times New Roman" w:cs="Times New Roman" w:eastAsia="Times New Roman" w:hAnsi="Times New Roman"/>
                <w:sz w:val="14"/>
                <w:szCs w:val="14"/>
                <w:color w:val="auto"/>
              </w:rPr>
              <w:t>NOV</w:t>
            </w:r>
          </w:p>
        </w:tc>
        <w:tc>
          <w:tcPr>
            <w:tcW w:w="280" w:type="dxa"/>
            <w:vAlign w:val="bottom"/>
          </w:tcPr>
          <w:p>
            <w:pPr>
              <w:spacing w:after="0"/>
              <w:rPr>
                <w:sz w:val="19"/>
                <w:szCs w:val="19"/>
                <w:color w:val="auto"/>
              </w:rPr>
            </w:pPr>
          </w:p>
        </w:tc>
        <w:tc>
          <w:tcPr>
            <w:tcW w:w="3440" w:type="dxa"/>
            <w:vAlign w:val="bottom"/>
            <w:tcBorders>
              <w:right w:val="single" w:sz="8" w:color="auto"/>
            </w:tcBorders>
          </w:tcPr>
          <w:p>
            <w:pPr>
              <w:jc w:val="center"/>
              <w:ind w:right="245"/>
              <w:spacing w:after="0"/>
              <w:rPr>
                <w:sz w:val="20"/>
                <w:szCs w:val="20"/>
                <w:color w:val="auto"/>
              </w:rPr>
            </w:pPr>
            <w:r>
              <w:rPr>
                <w:rFonts w:ascii="Times New Roman" w:cs="Times New Roman" w:eastAsia="Times New Roman" w:hAnsi="Times New Roman"/>
                <w:sz w:val="14"/>
                <w:szCs w:val="14"/>
                <w:color w:val="auto"/>
              </w:rPr>
              <w:t>New York Stock Exchange</w:t>
            </w:r>
          </w:p>
        </w:tc>
      </w:tr>
      <w:tr>
        <w:trPr>
          <w:trHeight w:val="52"/>
        </w:trPr>
        <w:tc>
          <w:tcPr>
            <w:tcW w:w="3360" w:type="dxa"/>
            <w:vAlign w:val="bottom"/>
            <w:tcBorders>
              <w:left w:val="single" w:sz="8" w:color="auto"/>
              <w:bottom w:val="single" w:sz="8" w:color="auto"/>
            </w:tcBorders>
          </w:tcPr>
          <w:p>
            <w:pPr>
              <w:spacing w:after="0"/>
              <w:rPr>
                <w:sz w:val="4"/>
                <w:szCs w:val="4"/>
                <w:color w:val="auto"/>
              </w:rPr>
            </w:pPr>
          </w:p>
        </w:tc>
        <w:tc>
          <w:tcPr>
            <w:tcW w:w="400" w:type="dxa"/>
            <w:vAlign w:val="bottom"/>
            <w:tcBorders>
              <w:bottom w:val="single" w:sz="8" w:color="auto"/>
              <w:right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240" w:type="dxa"/>
            <w:vAlign w:val="bottom"/>
            <w:tcBorders>
              <w:bottom w:val="single" w:sz="8" w:color="auto"/>
            </w:tcBorders>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3440" w:type="dxa"/>
            <w:vAlign w:val="bottom"/>
            <w:tcBorders>
              <w:bottom w:val="single" w:sz="8" w:color="auto"/>
              <w:right w:val="single" w:sz="8" w:color="auto"/>
            </w:tcBorders>
          </w:tcPr>
          <w:p>
            <w:pPr>
              <w:spacing w:after="0"/>
              <w:rPr>
                <w:sz w:val="4"/>
                <w:szCs w:val="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3130550</wp:posOffset>
            </wp:positionH>
            <wp:positionV relativeFrom="paragraph">
              <wp:posOffset>-1968500</wp:posOffset>
            </wp:positionV>
            <wp:extent cx="855980" cy="3251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55980" cy="325120"/>
                    </a:xfrm>
                    <a:prstGeom prst="rect">
                      <a:avLst/>
                    </a:prstGeom>
                    <a:noFill/>
                  </pic:spPr>
                </pic:pic>
              </a:graphicData>
            </a:graphic>
          </wp:anchor>
        </w:drawing>
      </w:r>
    </w:p>
    <w:p>
      <w:pPr>
        <w:spacing w:after="0" w:line="43"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1"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35" w:lineRule="exact"/>
        <w:rPr>
          <w:sz w:val="24"/>
          <w:szCs w:val="24"/>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1212" w:right="339" w:bottom="1440" w:gutter="0" w:footer="0" w:header="0"/>
        </w:sectPr>
      </w:pPr>
    </w:p>
    <w:p>
      <w:pPr>
        <w:spacing w:after="0" w:line="79" w:lineRule="exact"/>
        <w:rPr>
          <w:sz w:val="24"/>
          <w:szCs w:val="24"/>
          <w:color w:val="auto"/>
        </w:rPr>
      </w:pPr>
    </w:p>
    <w:p>
      <w:pPr>
        <w:ind w:left="20"/>
        <w:spacing w:after="0" w:line="334" w:lineRule="auto"/>
        <w:rPr>
          <w:sz w:val="20"/>
          <w:szCs w:val="20"/>
          <w:color w:val="auto"/>
        </w:rPr>
      </w:pPr>
      <w:r>
        <w:rPr>
          <w:rFonts w:ascii="Times New Roman" w:cs="Times New Roman" w:eastAsia="Times New Roman" w:hAnsi="Times New Roman"/>
          <w:sz w:val="14"/>
          <w:szCs w:val="14"/>
          <w:color w:val="auto"/>
        </w:rPr>
        <w:t>Large accelerated filer Smaller reporting company</w:t>
      </w:r>
    </w:p>
    <w:p>
      <w:pPr>
        <w:spacing w:after="0" w:line="20" w:lineRule="exact"/>
        <w:rPr>
          <w:sz w:val="24"/>
          <w:szCs w:val="24"/>
          <w:color w:val="auto"/>
        </w:rPr>
      </w:pPr>
      <w:r>
        <w:rPr>
          <w:sz w:val="24"/>
          <w:szCs w:val="24"/>
          <w:color w:val="auto"/>
        </w:rPr>
        <w:br w:type="column"/>
      </w:r>
    </w:p>
    <w:p>
      <w:pPr>
        <w:spacing w:after="0" w:line="14"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121"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59"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Accelerated filer</w:t>
      </w:r>
    </w:p>
    <w:p>
      <w:pPr>
        <w:spacing w:after="0" w:line="41"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Emerging growth company</w:t>
      </w:r>
    </w:p>
    <w:p>
      <w:pPr>
        <w:spacing w:after="0" w:line="20" w:lineRule="exact"/>
        <w:rPr>
          <w:sz w:val="24"/>
          <w:szCs w:val="24"/>
          <w:color w:val="auto"/>
        </w:rPr>
      </w:pPr>
      <w:r>
        <w:rPr>
          <w:sz w:val="24"/>
          <w:szCs w:val="24"/>
          <w:color w:val="auto"/>
        </w:rPr>
        <w:br w:type="column"/>
      </w:r>
    </w:p>
    <w:p>
      <w:pPr>
        <w:spacing w:after="0" w:line="14"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121"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59"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Non-accelerated filer</w:t>
      </w:r>
    </w:p>
    <w:p>
      <w:pPr>
        <w:spacing w:after="0" w:line="20" w:lineRule="exact"/>
        <w:rPr>
          <w:sz w:val="24"/>
          <w:szCs w:val="24"/>
          <w:color w:val="auto"/>
        </w:rPr>
      </w:pPr>
      <w:r>
        <w:rPr>
          <w:sz w:val="24"/>
          <w:szCs w:val="24"/>
          <w:color w:val="auto"/>
        </w:rPr>
        <w:br w:type="column"/>
      </w:r>
    </w:p>
    <w:p>
      <w:pPr>
        <w:spacing w:after="0" w:line="14" w:lineRule="exact"/>
        <w:rPr>
          <w:sz w:val="24"/>
          <w:szCs w:val="24"/>
          <w:color w:val="auto"/>
        </w:rPr>
      </w:pPr>
    </w:p>
    <w:p>
      <w:pPr>
        <w:jc w:val="center"/>
        <w:ind w:right="340"/>
        <w:spacing w:after="0" w:line="141" w:lineRule="exact"/>
        <w:rPr>
          <w:sz w:val="20"/>
          <w:szCs w:val="20"/>
          <w:color w:val="auto"/>
        </w:rPr>
      </w:pPr>
      <w:r>
        <w:rPr>
          <w:rFonts w:ascii="MS PGothic" w:cs="MS PGothic" w:eastAsia="MS PGothic" w:hAnsi="MS PGothic"/>
          <w:sz w:val="14"/>
          <w:szCs w:val="14"/>
          <w:color w:val="auto"/>
        </w:rPr>
        <w:t>☐</w:t>
      </w:r>
    </w:p>
    <w:p>
      <w:pPr>
        <w:spacing w:after="0" w:line="353" w:lineRule="exact"/>
        <w:rPr>
          <w:sz w:val="24"/>
          <w:szCs w:val="24"/>
          <w:color w:val="auto"/>
        </w:rPr>
      </w:pPr>
    </w:p>
    <w:p>
      <w:pPr>
        <w:sectPr>
          <w:pgSz w:w="11900" w:h="16838" w:orient="portrait"/>
          <w:cols w:equalWidth="0" w:num="6">
            <w:col w:w="1600" w:space="360"/>
            <w:col w:w="1580" w:space="720"/>
            <w:col w:w="1580" w:space="440"/>
            <w:col w:w="2200" w:space="720"/>
            <w:col w:w="1200" w:space="360"/>
            <w:col w:w="480"/>
          </w:cols>
          <w:pgMar w:left="320" w:top="1212" w:right="339" w:bottom="1440" w:gutter="0" w:footer="0" w:header="0"/>
          <w:type w:val="continuous"/>
        </w:sect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ind w:right="2080"/>
        <w:spacing w:after="0" w:line="270"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As of July 12, 2024 the registrant had 393,706,882 shares of common stock, par value $0.01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792480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2" w:right="33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PART I -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NOV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share data)</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0" w:type="dxa"/>
            <w:vAlign w:val="bottom"/>
            <w:gridSpan w:val="2"/>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20" w:type="dxa"/>
            <w:vAlign w:val="bottom"/>
          </w:tcPr>
          <w:p>
            <w:pPr>
              <w:spacing w:after="0"/>
              <w:rPr>
                <w:sz w:val="15"/>
                <w:szCs w:val="15"/>
                <w:color w:val="auto"/>
              </w:rPr>
            </w:pPr>
          </w:p>
        </w:tc>
        <w:tc>
          <w:tcPr>
            <w:tcW w:w="142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77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17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r>
      <w:tr>
        <w:trPr>
          <w:trHeight w:val="236"/>
        </w:trPr>
        <w:tc>
          <w:tcPr>
            <w:tcW w:w="7740" w:type="dxa"/>
            <w:vAlign w:val="bottom"/>
            <w:shd w:val="clear" w:color="auto" w:fill="CFF0FC"/>
          </w:tcPr>
          <w:p>
            <w:pPr>
              <w:ind w:left="346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60" w:type="dxa"/>
            <w:vAlign w:val="bottom"/>
            <w:shd w:val="clear" w:color="auto" w:fill="CFF0FC"/>
          </w:tcPr>
          <w:p>
            <w:pPr>
              <w:spacing w:after="0"/>
              <w:rPr>
                <w:sz w:val="20"/>
                <w:szCs w:val="20"/>
                <w:color w:val="auto"/>
              </w:rPr>
            </w:pPr>
          </w:p>
        </w:tc>
        <w:tc>
          <w:tcPr>
            <w:tcW w:w="1600" w:type="dxa"/>
            <w:vAlign w:val="bottom"/>
            <w:gridSpan w:val="2"/>
            <w:shd w:val="clear" w:color="auto" w:fill="CFF0FC"/>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220" w:type="dxa"/>
            <w:vAlign w:val="bottom"/>
            <w:shd w:val="clear" w:color="auto" w:fill="CFF0FC"/>
          </w:tcPr>
          <w:p>
            <w:pPr>
              <w:spacing w:after="0"/>
              <w:rPr>
                <w:sz w:val="20"/>
                <w:szCs w:val="20"/>
                <w:color w:val="auto"/>
              </w:rPr>
            </w:pPr>
          </w:p>
        </w:tc>
        <w:tc>
          <w:tcPr>
            <w:tcW w:w="13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8"/>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827</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816</w:t>
            </w:r>
          </w:p>
        </w:tc>
        <w:tc>
          <w:tcPr>
            <w:tcW w:w="100" w:type="dxa"/>
            <w:vAlign w:val="bottom"/>
            <w:shd w:val="clear" w:color="auto" w:fill="CFF0FC"/>
          </w:tcPr>
          <w:p>
            <w:pPr>
              <w:spacing w:after="0"/>
              <w:rPr>
                <w:sz w:val="21"/>
                <w:szCs w:val="21"/>
                <w:color w:val="auto"/>
              </w:rPr>
            </w:pPr>
          </w:p>
        </w:tc>
      </w:tr>
      <w:tr>
        <w:trPr>
          <w:trHeight w:val="238"/>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Receivables, net</w:t>
            </w:r>
          </w:p>
        </w:tc>
        <w:tc>
          <w:tcPr>
            <w:tcW w:w="2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1,854</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1,905</w:t>
            </w:r>
          </w:p>
        </w:tc>
        <w:tc>
          <w:tcPr>
            <w:tcW w:w="100" w:type="dxa"/>
            <w:vAlign w:val="bottom"/>
          </w:tcPr>
          <w:p>
            <w:pPr>
              <w:spacing w:after="0"/>
              <w:rPr>
                <w:sz w:val="20"/>
                <w:szCs w:val="20"/>
                <w:color w:val="auto"/>
              </w:rPr>
            </w:pPr>
          </w:p>
        </w:tc>
      </w:tr>
      <w:tr>
        <w:trPr>
          <w:trHeight w:val="247"/>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Inventories, net</w:t>
            </w:r>
          </w:p>
        </w:tc>
        <w:tc>
          <w:tcPr>
            <w:tcW w:w="26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2,157</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2,151</w:t>
            </w:r>
          </w:p>
        </w:tc>
        <w:tc>
          <w:tcPr>
            <w:tcW w:w="100" w:type="dxa"/>
            <w:vAlign w:val="bottom"/>
            <w:shd w:val="clear" w:color="auto" w:fill="CFF0FC"/>
          </w:tcPr>
          <w:p>
            <w:pPr>
              <w:spacing w:after="0"/>
              <w:rPr>
                <w:sz w:val="21"/>
                <w:szCs w:val="21"/>
                <w:color w:val="auto"/>
              </w:rPr>
            </w:pPr>
          </w:p>
        </w:tc>
      </w:tr>
      <w:tr>
        <w:trPr>
          <w:trHeight w:val="238"/>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Contract assets</w:t>
            </w:r>
          </w:p>
        </w:tc>
        <w:tc>
          <w:tcPr>
            <w:tcW w:w="2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772</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739</w:t>
            </w:r>
          </w:p>
        </w:tc>
        <w:tc>
          <w:tcPr>
            <w:tcW w:w="100" w:type="dxa"/>
            <w:vAlign w:val="bottom"/>
          </w:tcPr>
          <w:p>
            <w:pPr>
              <w:spacing w:after="0"/>
              <w:rPr>
                <w:sz w:val="20"/>
                <w:szCs w:val="20"/>
                <w:color w:val="auto"/>
              </w:rPr>
            </w:pPr>
          </w:p>
        </w:tc>
      </w:tr>
      <w:tr>
        <w:trPr>
          <w:trHeight w:val="243"/>
        </w:trPr>
        <w:tc>
          <w:tcPr>
            <w:tcW w:w="77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Prepaid and other current assets</w:t>
            </w:r>
          </w:p>
        </w:tc>
        <w:tc>
          <w:tcPr>
            <w:tcW w:w="260" w:type="dxa"/>
            <w:vAlign w:val="bottom"/>
            <w:tcBorders>
              <w:bottom w:val="single" w:sz="8" w:color="auto"/>
            </w:tcBorders>
            <w:shd w:val="clear" w:color="auto" w:fill="CFF0FC"/>
          </w:tcPr>
          <w:p>
            <w:pPr>
              <w:spacing w:after="0"/>
              <w:rPr>
                <w:sz w:val="21"/>
                <w:szCs w:val="21"/>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28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current assets</w:t>
            </w:r>
          </w:p>
        </w:tc>
        <w:tc>
          <w:tcPr>
            <w:tcW w:w="2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5,844</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5,840</w:t>
            </w:r>
          </w:p>
        </w:tc>
        <w:tc>
          <w:tcPr>
            <w:tcW w:w="100" w:type="dxa"/>
            <w:vAlign w:val="bottom"/>
          </w:tcPr>
          <w:p>
            <w:pPr>
              <w:spacing w:after="0"/>
              <w:rPr>
                <w:sz w:val="20"/>
                <w:szCs w:val="20"/>
                <w:color w:val="auto"/>
              </w:rPr>
            </w:pPr>
          </w:p>
        </w:tc>
      </w:tr>
      <w:tr>
        <w:trPr>
          <w:trHeight w:val="247"/>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6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1,882</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1,865</w:t>
            </w:r>
          </w:p>
        </w:tc>
        <w:tc>
          <w:tcPr>
            <w:tcW w:w="100" w:type="dxa"/>
            <w:vAlign w:val="bottom"/>
            <w:shd w:val="clear" w:color="auto" w:fill="CFF0FC"/>
          </w:tcPr>
          <w:p>
            <w:pPr>
              <w:spacing w:after="0"/>
              <w:rPr>
                <w:sz w:val="21"/>
                <w:szCs w:val="21"/>
                <w:color w:val="auto"/>
              </w:rPr>
            </w:pPr>
          </w:p>
        </w:tc>
      </w:tr>
      <w:tr>
        <w:trPr>
          <w:trHeight w:val="238"/>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 right-of-use assets, operating</w:t>
            </w:r>
          </w:p>
        </w:tc>
        <w:tc>
          <w:tcPr>
            <w:tcW w:w="2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100" w:type="dxa"/>
            <w:vAlign w:val="bottom"/>
          </w:tcPr>
          <w:p>
            <w:pPr>
              <w:spacing w:after="0"/>
              <w:rPr>
                <w:sz w:val="20"/>
                <w:szCs w:val="20"/>
                <w:color w:val="auto"/>
              </w:rPr>
            </w:pPr>
          </w:p>
        </w:tc>
      </w:tr>
      <w:tr>
        <w:trPr>
          <w:trHeight w:val="247"/>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Lease right-of-use assets, financing</w:t>
            </w:r>
          </w:p>
        </w:tc>
        <w:tc>
          <w:tcPr>
            <w:tcW w:w="26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00" w:type="dxa"/>
            <w:vAlign w:val="bottom"/>
            <w:shd w:val="clear" w:color="auto" w:fill="CFF0FC"/>
          </w:tcPr>
          <w:p>
            <w:pPr>
              <w:spacing w:after="0"/>
              <w:rPr>
                <w:sz w:val="21"/>
                <w:szCs w:val="21"/>
                <w:color w:val="auto"/>
              </w:rPr>
            </w:pPr>
          </w:p>
        </w:tc>
      </w:tr>
      <w:tr>
        <w:trPr>
          <w:trHeight w:val="238"/>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2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w:t>
            </w:r>
          </w:p>
        </w:tc>
        <w:tc>
          <w:tcPr>
            <w:tcW w:w="100" w:type="dxa"/>
            <w:vAlign w:val="bottom"/>
          </w:tcPr>
          <w:p>
            <w:pPr>
              <w:spacing w:after="0"/>
              <w:rPr>
                <w:sz w:val="20"/>
                <w:szCs w:val="20"/>
                <w:color w:val="auto"/>
              </w:rPr>
            </w:pPr>
          </w:p>
        </w:tc>
      </w:tr>
      <w:tr>
        <w:trPr>
          <w:trHeight w:val="247"/>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6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1,618</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1,562</w:t>
            </w:r>
          </w:p>
        </w:tc>
        <w:tc>
          <w:tcPr>
            <w:tcW w:w="100" w:type="dxa"/>
            <w:vAlign w:val="bottom"/>
            <w:shd w:val="clear" w:color="auto" w:fill="CFF0FC"/>
          </w:tcPr>
          <w:p>
            <w:pPr>
              <w:spacing w:after="0"/>
              <w:rPr>
                <w:sz w:val="21"/>
                <w:szCs w:val="21"/>
                <w:color w:val="auto"/>
              </w:rPr>
            </w:pPr>
          </w:p>
        </w:tc>
      </w:tr>
      <w:tr>
        <w:trPr>
          <w:trHeight w:val="238"/>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Intangibles, net</w:t>
            </w:r>
          </w:p>
        </w:tc>
        <w:tc>
          <w:tcPr>
            <w:tcW w:w="2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100" w:type="dxa"/>
            <w:vAlign w:val="bottom"/>
          </w:tcPr>
          <w:p>
            <w:pPr>
              <w:spacing w:after="0"/>
              <w:rPr>
                <w:sz w:val="20"/>
                <w:szCs w:val="20"/>
                <w:color w:val="auto"/>
              </w:rPr>
            </w:pPr>
          </w:p>
        </w:tc>
      </w:tr>
      <w:tr>
        <w:trPr>
          <w:trHeight w:val="247"/>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Investment in unconsolidated affiliates</w:t>
            </w:r>
          </w:p>
        </w:tc>
        <w:tc>
          <w:tcPr>
            <w:tcW w:w="26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00" w:type="dxa"/>
            <w:vAlign w:val="bottom"/>
            <w:shd w:val="clear" w:color="auto" w:fill="CFF0FC"/>
          </w:tcPr>
          <w:p>
            <w:pPr>
              <w:spacing w:after="0"/>
              <w:rPr>
                <w:sz w:val="21"/>
                <w:szCs w:val="21"/>
                <w:color w:val="auto"/>
              </w:rPr>
            </w:pPr>
          </w:p>
        </w:tc>
      </w:tr>
      <w:tr>
        <w:trPr>
          <w:trHeight w:val="238"/>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2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100" w:type="dxa"/>
            <w:vAlign w:val="bottom"/>
          </w:tcPr>
          <w:p>
            <w:pPr>
              <w:spacing w:after="0"/>
              <w:rPr>
                <w:sz w:val="20"/>
                <w:szCs w:val="20"/>
                <w:color w:val="auto"/>
              </w:rPr>
            </w:pPr>
          </w:p>
        </w:tc>
      </w:tr>
      <w:tr>
        <w:trPr>
          <w:trHeight w:val="276"/>
        </w:trPr>
        <w:tc>
          <w:tcPr>
            <w:tcW w:w="774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assets</w:t>
            </w:r>
          </w:p>
        </w:tc>
        <w:tc>
          <w:tcPr>
            <w:tcW w:w="26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11,297</w:t>
            </w:r>
          </w:p>
        </w:tc>
        <w:tc>
          <w:tcPr>
            <w:tcW w:w="28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11,294</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5"/>
        </w:trPr>
        <w:tc>
          <w:tcPr>
            <w:tcW w:w="7740" w:type="dxa"/>
            <w:vAlign w:val="bottom"/>
          </w:tcPr>
          <w:p>
            <w:pPr>
              <w:ind w:left="184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5"/>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6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payable</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809</w:t>
            </w:r>
          </w:p>
        </w:tc>
        <w:tc>
          <w:tcPr>
            <w:tcW w:w="28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904</w:t>
            </w:r>
          </w:p>
        </w:tc>
        <w:tc>
          <w:tcPr>
            <w:tcW w:w="100" w:type="dxa"/>
            <w:vAlign w:val="bottom"/>
          </w:tcPr>
          <w:p>
            <w:pPr>
              <w:spacing w:after="0"/>
              <w:rPr>
                <w:sz w:val="20"/>
                <w:szCs w:val="20"/>
                <w:color w:val="auto"/>
              </w:rPr>
            </w:pPr>
          </w:p>
        </w:tc>
      </w:tr>
      <w:tr>
        <w:trPr>
          <w:trHeight w:val="247"/>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Accrued liabilities</w:t>
            </w:r>
          </w:p>
        </w:tc>
        <w:tc>
          <w:tcPr>
            <w:tcW w:w="26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782</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870</w:t>
            </w:r>
          </w:p>
        </w:tc>
        <w:tc>
          <w:tcPr>
            <w:tcW w:w="100" w:type="dxa"/>
            <w:vAlign w:val="bottom"/>
            <w:shd w:val="clear" w:color="auto" w:fill="CFF0FC"/>
          </w:tcPr>
          <w:p>
            <w:pPr>
              <w:spacing w:after="0"/>
              <w:rPr>
                <w:sz w:val="21"/>
                <w:szCs w:val="21"/>
                <w:color w:val="auto"/>
              </w:rPr>
            </w:pPr>
          </w:p>
        </w:tc>
      </w:tr>
      <w:tr>
        <w:trPr>
          <w:trHeight w:val="238"/>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Contract liabilities</w:t>
            </w:r>
          </w:p>
        </w:tc>
        <w:tc>
          <w:tcPr>
            <w:tcW w:w="2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w:t>
            </w:r>
          </w:p>
        </w:tc>
        <w:tc>
          <w:tcPr>
            <w:tcW w:w="100" w:type="dxa"/>
            <w:vAlign w:val="bottom"/>
          </w:tcPr>
          <w:p>
            <w:pPr>
              <w:spacing w:after="0"/>
              <w:rPr>
                <w:sz w:val="20"/>
                <w:szCs w:val="20"/>
                <w:color w:val="auto"/>
              </w:rPr>
            </w:pPr>
          </w:p>
        </w:tc>
      </w:tr>
      <w:tr>
        <w:trPr>
          <w:trHeight w:val="247"/>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Current portion of lease liabilities</w:t>
            </w:r>
          </w:p>
        </w:tc>
        <w:tc>
          <w:tcPr>
            <w:tcW w:w="26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shd w:val="clear" w:color="auto" w:fill="CFF0FC"/>
          </w:tcPr>
          <w:p>
            <w:pPr>
              <w:spacing w:after="0"/>
              <w:rPr>
                <w:sz w:val="21"/>
                <w:szCs w:val="21"/>
                <w:color w:val="auto"/>
              </w:rPr>
            </w:pPr>
          </w:p>
        </w:tc>
      </w:tr>
      <w:tr>
        <w:trPr>
          <w:trHeight w:val="238"/>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2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20"/>
                <w:szCs w:val="20"/>
                <w:color w:val="auto"/>
              </w:rPr>
            </w:pPr>
          </w:p>
        </w:tc>
      </w:tr>
      <w:tr>
        <w:trPr>
          <w:trHeight w:val="243"/>
        </w:trPr>
        <w:tc>
          <w:tcPr>
            <w:tcW w:w="77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Accrued income taxes</w:t>
            </w:r>
          </w:p>
        </w:tc>
        <w:tc>
          <w:tcPr>
            <w:tcW w:w="260" w:type="dxa"/>
            <w:vAlign w:val="bottom"/>
            <w:tcBorders>
              <w:bottom w:val="single" w:sz="8" w:color="auto"/>
            </w:tcBorders>
            <w:shd w:val="clear" w:color="auto" w:fill="CFF0FC"/>
          </w:tcPr>
          <w:p>
            <w:pPr>
              <w:spacing w:after="0"/>
              <w:rPr>
                <w:sz w:val="21"/>
                <w:szCs w:val="21"/>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8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2,242</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2,435</w:t>
            </w:r>
          </w:p>
        </w:tc>
        <w:tc>
          <w:tcPr>
            <w:tcW w:w="100" w:type="dxa"/>
            <w:vAlign w:val="bottom"/>
          </w:tcPr>
          <w:p>
            <w:pPr>
              <w:spacing w:after="0"/>
              <w:rPr>
                <w:sz w:val="20"/>
                <w:szCs w:val="20"/>
                <w:color w:val="auto"/>
              </w:rPr>
            </w:pPr>
          </w:p>
        </w:tc>
      </w:tr>
      <w:tr>
        <w:trPr>
          <w:trHeight w:val="247"/>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26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1,724</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1,712</w:t>
            </w:r>
          </w:p>
        </w:tc>
        <w:tc>
          <w:tcPr>
            <w:tcW w:w="100" w:type="dxa"/>
            <w:vAlign w:val="bottom"/>
            <w:shd w:val="clear" w:color="auto" w:fill="CFF0FC"/>
          </w:tcPr>
          <w:p>
            <w:pPr>
              <w:spacing w:after="0"/>
              <w:rPr>
                <w:sz w:val="21"/>
                <w:szCs w:val="21"/>
                <w:color w:val="auto"/>
              </w:rPr>
            </w:pPr>
          </w:p>
        </w:tc>
      </w:tr>
      <w:tr>
        <w:trPr>
          <w:trHeight w:val="238"/>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 liabilities</w:t>
            </w:r>
          </w:p>
        </w:tc>
        <w:tc>
          <w:tcPr>
            <w:tcW w:w="2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w:t>
            </w:r>
          </w:p>
        </w:tc>
        <w:tc>
          <w:tcPr>
            <w:tcW w:w="100" w:type="dxa"/>
            <w:vAlign w:val="bottom"/>
          </w:tcPr>
          <w:p>
            <w:pPr>
              <w:spacing w:after="0"/>
              <w:rPr>
                <w:sz w:val="20"/>
                <w:szCs w:val="20"/>
                <w:color w:val="auto"/>
              </w:rPr>
            </w:pPr>
          </w:p>
        </w:tc>
      </w:tr>
      <w:tr>
        <w:trPr>
          <w:trHeight w:val="247"/>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26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shd w:val="clear" w:color="auto" w:fill="CFF0FC"/>
          </w:tcPr>
          <w:p>
            <w:pPr>
              <w:spacing w:after="0"/>
              <w:rPr>
                <w:sz w:val="21"/>
                <w:szCs w:val="21"/>
                <w:color w:val="auto"/>
              </w:rPr>
            </w:pPr>
          </w:p>
        </w:tc>
      </w:tr>
      <w:tr>
        <w:trPr>
          <w:trHeight w:val="238"/>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2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2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100" w:type="dxa"/>
            <w:vAlign w:val="bottom"/>
          </w:tcPr>
          <w:p>
            <w:pPr>
              <w:spacing w:after="0"/>
              <w:rPr>
                <w:sz w:val="20"/>
                <w:szCs w:val="20"/>
                <w:color w:val="auto"/>
              </w:rPr>
            </w:pPr>
          </w:p>
        </w:tc>
      </w:tr>
      <w:tr>
        <w:trPr>
          <w:trHeight w:val="236"/>
        </w:trPr>
        <w:tc>
          <w:tcPr>
            <w:tcW w:w="774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liabilities</w:t>
            </w:r>
          </w:p>
        </w:tc>
        <w:tc>
          <w:tcPr>
            <w:tcW w:w="260" w:type="dxa"/>
            <w:vAlign w:val="bottom"/>
            <w:tcBorders>
              <w:bottom w:val="single" w:sz="8" w:color="auto"/>
            </w:tcBorders>
            <w:shd w:val="clear" w:color="auto" w:fill="CFF0FC"/>
          </w:tcPr>
          <w:p>
            <w:pPr>
              <w:spacing w:after="0"/>
              <w:rPr>
                <w:sz w:val="20"/>
                <w:szCs w:val="20"/>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4,865</w:t>
            </w:r>
          </w:p>
        </w:tc>
        <w:tc>
          <w:tcPr>
            <w:tcW w:w="28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5,052</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6"/>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2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26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11"/>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Common stock - par value $.01; 1 billion shares authorized; 393,706,882 and 393,945,659 shares</w:t>
            </w: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issued and outstanding at June 30, 2024 and December 31, 2023</w:t>
            </w:r>
          </w:p>
        </w:tc>
        <w:tc>
          <w:tcPr>
            <w:tcW w:w="2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0"/>
                <w:szCs w:val="20"/>
                <w:color w:val="auto"/>
              </w:rPr>
            </w:pPr>
          </w:p>
        </w:tc>
      </w:tr>
      <w:tr>
        <w:trPr>
          <w:trHeight w:val="249"/>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6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8,784</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8,812</w:t>
            </w:r>
          </w:p>
        </w:tc>
        <w:tc>
          <w:tcPr>
            <w:tcW w:w="100" w:type="dxa"/>
            <w:vAlign w:val="bottom"/>
            <w:shd w:val="clear" w:color="auto" w:fill="CFF0FC"/>
          </w:tcPr>
          <w:p>
            <w:pPr>
              <w:spacing w:after="0"/>
              <w:rPr>
                <w:sz w:val="21"/>
                <w:szCs w:val="21"/>
                <w:color w:val="auto"/>
              </w:rPr>
            </w:pPr>
          </w:p>
        </w:tc>
      </w:tr>
      <w:tr>
        <w:trPr>
          <w:trHeight w:val="238"/>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60" w:type="dxa"/>
            <w:vAlign w:val="bottom"/>
          </w:tcPr>
          <w:p>
            <w:pPr>
              <w:spacing w:after="0"/>
              <w:rPr>
                <w:sz w:val="20"/>
                <w:szCs w:val="20"/>
                <w:color w:val="auto"/>
              </w:rPr>
            </w:pP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(1,549 )</w:t>
            </w:r>
          </w:p>
        </w:tc>
        <w:tc>
          <w:tcPr>
            <w:tcW w:w="220" w:type="dxa"/>
            <w:vAlign w:val="bottom"/>
          </w:tcPr>
          <w:p>
            <w:pPr>
              <w:spacing w:after="0"/>
              <w:rPr>
                <w:sz w:val="20"/>
                <w:szCs w:val="20"/>
                <w:color w:val="auto"/>
              </w:rPr>
            </w:pP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(1,493 )</w:t>
            </w:r>
          </w:p>
        </w:tc>
      </w:tr>
      <w:tr>
        <w:trPr>
          <w:trHeight w:val="243"/>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Retained deficit</w:t>
            </w:r>
          </w:p>
        </w:tc>
        <w:tc>
          <w:tcPr>
            <w:tcW w:w="260" w:type="dxa"/>
            <w:vAlign w:val="bottom"/>
            <w:shd w:val="clear" w:color="auto" w:fill="CFF0FC"/>
          </w:tcPr>
          <w:p>
            <w:pPr>
              <w:spacing w:after="0"/>
              <w:rPr>
                <w:sz w:val="21"/>
                <w:szCs w:val="21"/>
                <w:color w:val="auto"/>
              </w:rPr>
            </w:pPr>
          </w:p>
        </w:tc>
        <w:tc>
          <w:tcPr>
            <w:tcW w:w="16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(860 )</w:t>
            </w:r>
          </w:p>
        </w:tc>
        <w:tc>
          <w:tcPr>
            <w:tcW w:w="220" w:type="dxa"/>
            <w:vAlign w:val="bottom"/>
            <w:shd w:val="clear" w:color="auto" w:fill="CFF0FC"/>
          </w:tcPr>
          <w:p>
            <w:pPr>
              <w:spacing w:after="0"/>
              <w:rPr>
                <w:sz w:val="21"/>
                <w:szCs w:val="21"/>
                <w:color w:val="auto"/>
              </w:rPr>
            </w:pPr>
          </w:p>
        </w:tc>
        <w:tc>
          <w:tcPr>
            <w:tcW w:w="14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(1,155 )</w:t>
            </w:r>
          </w:p>
        </w:tc>
      </w:tr>
      <w:tr>
        <w:trPr>
          <w:trHeight w:val="236"/>
        </w:trPr>
        <w:tc>
          <w:tcPr>
            <w:tcW w:w="7740" w:type="dxa"/>
            <w:vAlign w:val="bottom"/>
            <w:tcBorders>
              <w:top w:val="single" w:sz="8" w:color="CFF0FC"/>
            </w:tcBorders>
          </w:tcPr>
          <w:p>
            <w:pPr>
              <w:ind w:left="380"/>
              <w:spacing w:after="0"/>
              <w:rPr>
                <w:sz w:val="20"/>
                <w:szCs w:val="20"/>
                <w:color w:val="auto"/>
              </w:rPr>
            </w:pPr>
            <w:r>
              <w:rPr>
                <w:rFonts w:ascii="Times New Roman" w:cs="Times New Roman" w:eastAsia="Times New Roman" w:hAnsi="Times New Roman"/>
                <w:sz w:val="18"/>
                <w:szCs w:val="18"/>
                <w:color w:val="auto"/>
              </w:rPr>
              <w:t>Total Company stockholders' equity</w:t>
            </w:r>
          </w:p>
        </w:tc>
        <w:tc>
          <w:tcPr>
            <w:tcW w:w="2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6,379</w:t>
            </w:r>
          </w:p>
        </w:tc>
        <w:tc>
          <w:tcPr>
            <w:tcW w:w="280" w:type="dxa"/>
            <w:vAlign w:val="bottom"/>
            <w:tcBorders>
              <w:top w:val="single" w:sz="8" w:color="CFF0FC"/>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6,168</w:t>
            </w:r>
          </w:p>
        </w:tc>
        <w:tc>
          <w:tcPr>
            <w:tcW w:w="100" w:type="dxa"/>
            <w:vAlign w:val="bottom"/>
            <w:tcBorders>
              <w:top w:val="single" w:sz="8" w:color="CFF0FC"/>
            </w:tcBorders>
          </w:tcPr>
          <w:p>
            <w:pPr>
              <w:spacing w:after="0"/>
              <w:rPr>
                <w:sz w:val="20"/>
                <w:szCs w:val="20"/>
                <w:color w:val="auto"/>
              </w:rPr>
            </w:pPr>
          </w:p>
        </w:tc>
      </w:tr>
      <w:tr>
        <w:trPr>
          <w:trHeight w:val="243"/>
        </w:trPr>
        <w:tc>
          <w:tcPr>
            <w:tcW w:w="77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Noncontrolling interests</w:t>
            </w:r>
          </w:p>
        </w:tc>
        <w:tc>
          <w:tcPr>
            <w:tcW w:w="260" w:type="dxa"/>
            <w:vAlign w:val="bottom"/>
            <w:tcBorders>
              <w:bottom w:val="single" w:sz="8" w:color="auto"/>
            </w:tcBorders>
            <w:shd w:val="clear" w:color="auto" w:fill="CFF0FC"/>
          </w:tcPr>
          <w:p>
            <w:pPr>
              <w:spacing w:after="0"/>
              <w:rPr>
                <w:sz w:val="21"/>
                <w:szCs w:val="21"/>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8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6,432</w:t>
            </w:r>
          </w:p>
        </w:tc>
        <w:tc>
          <w:tcPr>
            <w:tcW w:w="2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6,242</w:t>
            </w:r>
          </w:p>
        </w:tc>
        <w:tc>
          <w:tcPr>
            <w:tcW w:w="100" w:type="dxa"/>
            <w:vAlign w:val="bottom"/>
          </w:tcPr>
          <w:p>
            <w:pPr>
              <w:spacing w:after="0"/>
              <w:rPr>
                <w:sz w:val="20"/>
                <w:szCs w:val="20"/>
                <w:color w:val="auto"/>
              </w:rPr>
            </w:pPr>
          </w:p>
        </w:tc>
      </w:tr>
      <w:tr>
        <w:trPr>
          <w:trHeight w:val="276"/>
        </w:trPr>
        <w:tc>
          <w:tcPr>
            <w:tcW w:w="7740" w:type="dxa"/>
            <w:vAlign w:val="bottom"/>
            <w:tcBorders>
              <w:bottom w:val="single" w:sz="8" w:color="CFF0FC"/>
            </w:tcBorders>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6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11,297</w:t>
            </w:r>
          </w:p>
        </w:tc>
        <w:tc>
          <w:tcPr>
            <w:tcW w:w="28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11,294</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5913120</wp:posOffset>
            </wp:positionH>
            <wp:positionV relativeFrom="paragraph">
              <wp:posOffset>-5496560</wp:posOffset>
            </wp:positionV>
            <wp:extent cx="768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-5496560</wp:posOffset>
            </wp:positionV>
            <wp:extent cx="685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5913120</wp:posOffset>
            </wp:positionH>
            <wp:positionV relativeFrom="paragraph">
              <wp:posOffset>-3938270</wp:posOffset>
            </wp:positionV>
            <wp:extent cx="7683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5913120</wp:posOffset>
            </wp:positionH>
            <wp:positionV relativeFrom="paragraph">
              <wp:posOffset>-3921125</wp:posOffset>
            </wp:positionV>
            <wp:extent cx="7683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-3938270</wp:posOffset>
            </wp:positionV>
            <wp:extent cx="6858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-3921125</wp:posOffset>
            </wp:positionV>
            <wp:extent cx="685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5913120</wp:posOffset>
            </wp:positionH>
            <wp:positionV relativeFrom="paragraph">
              <wp:posOffset>-2679700</wp:posOffset>
            </wp:positionV>
            <wp:extent cx="7683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-2679700</wp:posOffset>
            </wp:positionV>
            <wp:extent cx="685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5913120</wp:posOffset>
            </wp:positionH>
            <wp:positionV relativeFrom="paragraph">
              <wp:posOffset>-1737360</wp:posOffset>
            </wp:positionV>
            <wp:extent cx="7683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-1737360</wp:posOffset>
            </wp:positionV>
            <wp:extent cx="685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5913120</wp:posOffset>
            </wp:positionH>
            <wp:positionV relativeFrom="paragraph">
              <wp:posOffset>-667385</wp:posOffset>
            </wp:positionV>
            <wp:extent cx="7683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-667385</wp:posOffset>
            </wp:positionV>
            <wp:extent cx="685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5913120</wp:posOffset>
            </wp:positionH>
            <wp:positionV relativeFrom="paragraph">
              <wp:posOffset>-350520</wp:posOffset>
            </wp:positionV>
            <wp:extent cx="7683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-350520</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5913120</wp:posOffset>
            </wp:positionH>
            <wp:positionV relativeFrom="paragraph">
              <wp:posOffset>-24765</wp:posOffset>
            </wp:positionV>
            <wp:extent cx="7683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5913120</wp:posOffset>
            </wp:positionH>
            <wp:positionV relativeFrom="paragraph">
              <wp:posOffset>-7620</wp:posOffset>
            </wp:positionV>
            <wp:extent cx="7683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unaudited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NOV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INCOME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per share data)</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240" w:type="dxa"/>
            <w:vAlign w:val="bottom"/>
          </w:tcPr>
          <w:p>
            <w:pPr>
              <w:spacing w:after="0"/>
              <w:rPr>
                <w:sz w:val="15"/>
                <w:szCs w:val="15"/>
                <w:color w:val="auto"/>
              </w:rPr>
            </w:pPr>
          </w:p>
        </w:tc>
        <w:tc>
          <w:tcPr>
            <w:tcW w:w="2100" w:type="dxa"/>
            <w:vAlign w:val="bottom"/>
            <w:gridSpan w:val="4"/>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40" w:type="dxa"/>
            <w:vAlign w:val="bottom"/>
            <w:gridSpan w:val="5"/>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87"/>
        </w:trPr>
        <w:tc>
          <w:tcPr>
            <w:tcW w:w="6240" w:type="dxa"/>
            <w:vAlign w:val="bottom"/>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2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7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6240" w:type="dxa"/>
            <w:vAlign w:val="bottom"/>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2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236"/>
        </w:trPr>
        <w:tc>
          <w:tcPr>
            <w:tcW w:w="6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720" w:type="dxa"/>
            <w:vAlign w:val="bottom"/>
            <w:shd w:val="clear" w:color="auto" w:fill="CFF0FC"/>
          </w:tcPr>
          <w:p>
            <w:pPr>
              <w:jc w:val="right"/>
              <w:ind w:right="535"/>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2,216</w:t>
            </w:r>
          </w:p>
        </w:tc>
        <w:tc>
          <w:tcPr>
            <w:tcW w:w="260" w:type="dxa"/>
            <w:vAlign w:val="bottom"/>
            <w:shd w:val="clear" w:color="auto" w:fill="CFF0FC"/>
          </w:tcPr>
          <w:p>
            <w:pPr>
              <w:spacing w:after="0"/>
              <w:rPr>
                <w:sz w:val="20"/>
                <w:szCs w:val="20"/>
                <w:color w:val="auto"/>
              </w:rPr>
            </w:pPr>
          </w:p>
        </w:tc>
        <w:tc>
          <w:tcPr>
            <w:tcW w:w="700" w:type="dxa"/>
            <w:vAlign w:val="bottom"/>
            <w:shd w:val="clear" w:color="auto" w:fill="CFF0FC"/>
          </w:tcPr>
          <w:p>
            <w:pPr>
              <w:jc w:val="right"/>
              <w:ind w:right="513"/>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2,093</w:t>
            </w:r>
          </w:p>
        </w:tc>
        <w:tc>
          <w:tcPr>
            <w:tcW w:w="22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4,371</w:t>
            </w:r>
          </w:p>
        </w:tc>
        <w:tc>
          <w:tcPr>
            <w:tcW w:w="24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4,055</w:t>
            </w:r>
          </w:p>
        </w:tc>
        <w:tc>
          <w:tcPr>
            <w:tcW w:w="100" w:type="dxa"/>
            <w:vAlign w:val="bottom"/>
            <w:shd w:val="clear" w:color="auto" w:fill="CFF0FC"/>
          </w:tcPr>
          <w:p>
            <w:pPr>
              <w:spacing w:after="0"/>
              <w:rPr>
                <w:sz w:val="20"/>
                <w:szCs w:val="20"/>
                <w:color w:val="auto"/>
              </w:rPr>
            </w:pPr>
          </w:p>
        </w:tc>
      </w:tr>
      <w:tr>
        <w:trPr>
          <w:trHeight w:val="238"/>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72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1,626</w:t>
            </w:r>
          </w:p>
        </w:tc>
        <w:tc>
          <w:tcPr>
            <w:tcW w:w="260" w:type="dxa"/>
            <w:vAlign w:val="bottom"/>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1,636</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3,323</w:t>
            </w: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3,187</w:t>
            </w:r>
          </w:p>
        </w:tc>
        <w:tc>
          <w:tcPr>
            <w:tcW w:w="100" w:type="dxa"/>
            <w:vAlign w:val="bottom"/>
          </w:tcPr>
          <w:p>
            <w:pPr>
              <w:spacing w:after="0"/>
              <w:rPr>
                <w:sz w:val="20"/>
                <w:szCs w:val="20"/>
                <w:color w:val="auto"/>
              </w:rPr>
            </w:pPr>
          </w:p>
        </w:tc>
      </w:tr>
      <w:tr>
        <w:trPr>
          <w:trHeight w:val="240"/>
        </w:trPr>
        <w:tc>
          <w:tcPr>
            <w:tcW w:w="62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Gross profit</w:t>
            </w:r>
          </w:p>
        </w:tc>
        <w:tc>
          <w:tcPr>
            <w:tcW w:w="720" w:type="dxa"/>
            <w:vAlign w:val="bottom"/>
            <w:shd w:val="clear" w:color="auto" w:fill="CFF0FC"/>
          </w:tcPr>
          <w:p>
            <w:pPr>
              <w:spacing w:after="0"/>
              <w:rPr>
                <w:sz w:val="20"/>
                <w:szCs w:val="20"/>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590</w:t>
            </w:r>
          </w:p>
        </w:tc>
        <w:tc>
          <w:tcPr>
            <w:tcW w:w="26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457</w:t>
            </w:r>
          </w:p>
        </w:tc>
        <w:tc>
          <w:tcPr>
            <w:tcW w:w="2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1,048</w:t>
            </w:r>
          </w:p>
        </w:tc>
        <w:tc>
          <w:tcPr>
            <w:tcW w:w="2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868</w:t>
            </w:r>
          </w:p>
        </w:tc>
        <w:tc>
          <w:tcPr>
            <w:tcW w:w="100" w:type="dxa"/>
            <w:vAlign w:val="bottom"/>
            <w:shd w:val="clear" w:color="auto" w:fill="CFF0FC"/>
          </w:tcPr>
          <w:p>
            <w:pPr>
              <w:spacing w:after="0"/>
              <w:rPr>
                <w:sz w:val="20"/>
                <w:szCs w:val="20"/>
                <w:color w:val="auto"/>
              </w:rPr>
            </w:pPr>
          </w:p>
        </w:tc>
      </w:tr>
      <w:tr>
        <w:trPr>
          <w:trHeight w:val="238"/>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72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260" w:type="dxa"/>
            <w:vAlign w:val="bottom"/>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573</w:t>
            </w: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561</w:t>
            </w:r>
          </w:p>
        </w:tc>
        <w:tc>
          <w:tcPr>
            <w:tcW w:w="100" w:type="dxa"/>
            <w:vAlign w:val="bottom"/>
          </w:tcPr>
          <w:p>
            <w:pPr>
              <w:spacing w:after="0"/>
              <w:rPr>
                <w:sz w:val="20"/>
                <w:szCs w:val="20"/>
                <w:color w:val="auto"/>
              </w:rPr>
            </w:pPr>
          </w:p>
        </w:tc>
      </w:tr>
      <w:tr>
        <w:trPr>
          <w:trHeight w:val="240"/>
        </w:trPr>
        <w:tc>
          <w:tcPr>
            <w:tcW w:w="62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Operating profit</w:t>
            </w:r>
          </w:p>
        </w:tc>
        <w:tc>
          <w:tcPr>
            <w:tcW w:w="720" w:type="dxa"/>
            <w:vAlign w:val="bottom"/>
            <w:shd w:val="clear" w:color="auto" w:fill="CFF0FC"/>
          </w:tcPr>
          <w:p>
            <w:pPr>
              <w:spacing w:after="0"/>
              <w:rPr>
                <w:sz w:val="20"/>
                <w:szCs w:val="20"/>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26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2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2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100" w:type="dxa"/>
            <w:vAlign w:val="bottom"/>
            <w:shd w:val="clear" w:color="auto" w:fill="CFF0FC"/>
          </w:tcPr>
          <w:p>
            <w:pPr>
              <w:spacing w:after="0"/>
              <w:rPr>
                <w:sz w:val="20"/>
                <w:szCs w:val="20"/>
                <w:color w:val="auto"/>
              </w:rPr>
            </w:pPr>
          </w:p>
        </w:tc>
      </w:tr>
      <w:tr>
        <w:trPr>
          <w:trHeight w:val="238"/>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and financial costs</w:t>
            </w:r>
          </w:p>
        </w:tc>
        <w:tc>
          <w:tcPr>
            <w:tcW w:w="720" w:type="dxa"/>
            <w:vAlign w:val="bottom"/>
          </w:tcPr>
          <w:p>
            <w:pPr>
              <w:spacing w:after="0"/>
              <w:rPr>
                <w:sz w:val="20"/>
                <w:szCs w:val="20"/>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(22 )</w:t>
            </w:r>
          </w:p>
        </w:tc>
        <w:tc>
          <w:tcPr>
            <w:tcW w:w="700" w:type="dxa"/>
            <w:vAlign w:val="bottom"/>
          </w:tcPr>
          <w:p>
            <w:pPr>
              <w:spacing w:after="0"/>
              <w:rPr>
                <w:sz w:val="20"/>
                <w:szCs w:val="20"/>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(21 )</w:t>
            </w:r>
          </w:p>
        </w:tc>
        <w:tc>
          <w:tcPr>
            <w:tcW w:w="22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(46 )</w:t>
            </w:r>
          </w:p>
        </w:tc>
        <w:tc>
          <w:tcPr>
            <w:tcW w:w="24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(42 )</w:t>
            </w:r>
          </w:p>
        </w:tc>
      </w:tr>
      <w:tr>
        <w:trPr>
          <w:trHeight w:val="247"/>
        </w:trPr>
        <w:tc>
          <w:tcPr>
            <w:tcW w:w="6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720" w:type="dxa"/>
            <w:vAlign w:val="bottom"/>
            <w:shd w:val="clear" w:color="auto" w:fill="CFF0FC"/>
          </w:tcPr>
          <w:p>
            <w:pPr>
              <w:spacing w:after="0"/>
              <w:rPr>
                <w:sz w:val="21"/>
                <w:szCs w:val="21"/>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60" w:type="dxa"/>
            <w:vAlign w:val="bottom"/>
            <w:shd w:val="clear" w:color="auto" w:fill="CFF0FC"/>
          </w:tcPr>
          <w:p>
            <w:pPr>
              <w:spacing w:after="0"/>
              <w:rPr>
                <w:sz w:val="21"/>
                <w:szCs w:val="21"/>
                <w:color w:val="auto"/>
              </w:rPr>
            </w:pPr>
          </w:p>
        </w:tc>
        <w:tc>
          <w:tcPr>
            <w:tcW w:w="700" w:type="dxa"/>
            <w:vAlign w:val="bottom"/>
            <w:shd w:val="clear" w:color="auto" w:fill="CFF0FC"/>
          </w:tcPr>
          <w:p>
            <w:pPr>
              <w:spacing w:after="0"/>
              <w:rPr>
                <w:sz w:val="21"/>
                <w:szCs w:val="21"/>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FF0FC"/>
          </w:tcPr>
          <w:p>
            <w:pPr>
              <w:spacing w:after="0"/>
              <w:rPr>
                <w:sz w:val="21"/>
                <w:szCs w:val="21"/>
                <w:color w:val="auto"/>
              </w:rPr>
            </w:pPr>
          </w:p>
        </w:tc>
      </w:tr>
      <w:tr>
        <w:trPr>
          <w:trHeight w:val="238"/>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income in unconsolidated affiliates</w:t>
            </w:r>
          </w:p>
        </w:tc>
        <w:tc>
          <w:tcPr>
            <w:tcW w:w="72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tcPr>
          <w:p>
            <w:pPr>
              <w:spacing w:after="0"/>
              <w:rPr>
                <w:sz w:val="20"/>
                <w:szCs w:val="20"/>
                <w:color w:val="auto"/>
              </w:rPr>
            </w:pPr>
          </w:p>
        </w:tc>
      </w:tr>
      <w:tr>
        <w:trPr>
          <w:trHeight w:val="243"/>
        </w:trPr>
        <w:tc>
          <w:tcPr>
            <w:tcW w:w="6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expense, net</w:t>
            </w:r>
          </w:p>
        </w:tc>
        <w:tc>
          <w:tcPr>
            <w:tcW w:w="720" w:type="dxa"/>
            <w:vAlign w:val="bottom"/>
            <w:shd w:val="clear" w:color="auto" w:fill="CFF0FC"/>
          </w:tcPr>
          <w:p>
            <w:pPr>
              <w:spacing w:after="0"/>
              <w:rPr>
                <w:sz w:val="21"/>
                <w:szCs w:val="21"/>
                <w:color w:val="auto"/>
              </w:rPr>
            </w:pPr>
          </w:p>
        </w:tc>
        <w:tc>
          <w:tcPr>
            <w:tcW w:w="6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(14 )</w:t>
            </w:r>
          </w:p>
        </w:tc>
        <w:tc>
          <w:tcPr>
            <w:tcW w:w="700" w:type="dxa"/>
            <w:vAlign w:val="bottom"/>
            <w:shd w:val="clear" w:color="auto" w:fill="CFF0FC"/>
          </w:tcPr>
          <w:p>
            <w:pPr>
              <w:spacing w:after="0"/>
              <w:rPr>
                <w:sz w:val="21"/>
                <w:szCs w:val="21"/>
                <w:color w:val="auto"/>
              </w:rPr>
            </w:pPr>
          </w:p>
        </w:tc>
        <w:tc>
          <w:tcPr>
            <w:tcW w:w="6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(29 )</w:t>
            </w:r>
          </w:p>
        </w:tc>
        <w:tc>
          <w:tcPr>
            <w:tcW w:w="22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(24 )</w:t>
            </w:r>
          </w:p>
        </w:tc>
        <w:tc>
          <w:tcPr>
            <w:tcW w:w="240" w:type="dxa"/>
            <w:vAlign w:val="bottom"/>
            <w:shd w:val="clear" w:color="auto" w:fill="CFF0FC"/>
          </w:tcPr>
          <w:p>
            <w:pPr>
              <w:spacing w:after="0"/>
              <w:rPr>
                <w:sz w:val="21"/>
                <w:szCs w:val="21"/>
                <w:color w:val="auto"/>
              </w:rPr>
            </w:pPr>
          </w:p>
        </w:tc>
        <w:tc>
          <w:tcPr>
            <w:tcW w:w="8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(45 )</w:t>
            </w:r>
          </w:p>
        </w:tc>
      </w:tr>
      <w:tr>
        <w:trPr>
          <w:trHeight w:val="236"/>
        </w:trPr>
        <w:tc>
          <w:tcPr>
            <w:tcW w:w="6240" w:type="dxa"/>
            <w:vAlign w:val="bottom"/>
            <w:tcBorders>
              <w:top w:val="single" w:sz="8" w:color="CFF0FC"/>
            </w:tcBorders>
          </w:tcPr>
          <w:p>
            <w:pPr>
              <w:ind w:left="200"/>
              <w:spacing w:after="0"/>
              <w:rPr>
                <w:sz w:val="20"/>
                <w:szCs w:val="20"/>
                <w:color w:val="auto"/>
              </w:rPr>
            </w:pPr>
            <w:r>
              <w:rPr>
                <w:rFonts w:ascii="Times New Roman" w:cs="Times New Roman" w:eastAsia="Times New Roman" w:hAnsi="Times New Roman"/>
                <w:sz w:val="18"/>
                <w:szCs w:val="18"/>
                <w:color w:val="auto"/>
              </w:rPr>
              <w:t>Net income before income taxes</w:t>
            </w:r>
          </w:p>
        </w:tc>
        <w:tc>
          <w:tcPr>
            <w:tcW w:w="72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260" w:type="dxa"/>
            <w:vAlign w:val="bottom"/>
            <w:tcBorders>
              <w:top w:val="single" w:sz="8" w:color="CFF0FC"/>
            </w:tcBorders>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220" w:type="dxa"/>
            <w:vAlign w:val="bottom"/>
            <w:tcBorders>
              <w:top w:val="single" w:sz="8" w:color="CFF0FC"/>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240" w:type="dxa"/>
            <w:vAlign w:val="bottom"/>
            <w:tcBorders>
              <w:top w:val="single" w:sz="8" w:color="CFF0FC"/>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100" w:type="dxa"/>
            <w:vAlign w:val="bottom"/>
            <w:tcBorders>
              <w:top w:val="single" w:sz="8" w:color="CFF0FC"/>
            </w:tcBorders>
          </w:tcPr>
          <w:p>
            <w:pPr>
              <w:spacing w:after="0"/>
              <w:rPr>
                <w:sz w:val="20"/>
                <w:szCs w:val="20"/>
                <w:color w:val="auto"/>
              </w:rPr>
            </w:pPr>
          </w:p>
        </w:tc>
      </w:tr>
      <w:tr>
        <w:trPr>
          <w:trHeight w:val="243"/>
        </w:trPr>
        <w:tc>
          <w:tcPr>
            <w:tcW w:w="62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720" w:type="dxa"/>
            <w:vAlign w:val="bottom"/>
            <w:tcBorders>
              <w:bottom w:val="single" w:sz="8" w:color="auto"/>
            </w:tcBorders>
            <w:shd w:val="clear" w:color="auto" w:fill="CFF0FC"/>
          </w:tcPr>
          <w:p>
            <w:pPr>
              <w:spacing w:after="0"/>
              <w:rPr>
                <w:sz w:val="21"/>
                <w:szCs w:val="21"/>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260" w:type="dxa"/>
            <w:vAlign w:val="bottom"/>
            <w:tcBorders>
              <w:bottom w:val="single" w:sz="8" w:color="CFF0FC"/>
            </w:tcBorders>
            <w:shd w:val="clear" w:color="auto" w:fill="CFF0FC"/>
          </w:tcPr>
          <w:p>
            <w:pPr>
              <w:spacing w:after="0"/>
              <w:rPr>
                <w:sz w:val="21"/>
                <w:szCs w:val="21"/>
                <w:color w:val="auto"/>
              </w:rPr>
            </w:pPr>
          </w:p>
        </w:tc>
        <w:tc>
          <w:tcPr>
            <w:tcW w:w="700" w:type="dxa"/>
            <w:vAlign w:val="bottom"/>
            <w:tcBorders>
              <w:bottom w:val="single" w:sz="8" w:color="auto"/>
            </w:tcBorders>
            <w:shd w:val="clear" w:color="auto" w:fill="CFF0FC"/>
          </w:tcPr>
          <w:p>
            <w:pPr>
              <w:spacing w:after="0"/>
              <w:rPr>
                <w:sz w:val="21"/>
                <w:szCs w:val="21"/>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24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6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income</w:t>
            </w:r>
          </w:p>
        </w:tc>
        <w:tc>
          <w:tcPr>
            <w:tcW w:w="72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100" w:type="dxa"/>
            <w:vAlign w:val="bottom"/>
          </w:tcPr>
          <w:p>
            <w:pPr>
              <w:spacing w:after="0"/>
              <w:rPr>
                <w:sz w:val="20"/>
                <w:szCs w:val="20"/>
                <w:color w:val="auto"/>
              </w:rPr>
            </w:pPr>
          </w:p>
        </w:tc>
      </w:tr>
      <w:tr>
        <w:trPr>
          <w:trHeight w:val="243"/>
        </w:trPr>
        <w:tc>
          <w:tcPr>
            <w:tcW w:w="6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noncontrolling interests</w:t>
            </w:r>
          </w:p>
        </w:tc>
        <w:tc>
          <w:tcPr>
            <w:tcW w:w="720" w:type="dxa"/>
            <w:vAlign w:val="bottom"/>
            <w:shd w:val="clear" w:color="auto" w:fill="CFF0FC"/>
          </w:tcPr>
          <w:p>
            <w:pPr>
              <w:spacing w:after="0"/>
              <w:rPr>
                <w:sz w:val="21"/>
                <w:szCs w:val="21"/>
                <w:color w:val="auto"/>
              </w:rPr>
            </w:pPr>
          </w:p>
        </w:tc>
        <w:tc>
          <w:tcPr>
            <w:tcW w:w="6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(3 )</w:t>
            </w:r>
          </w:p>
        </w:tc>
        <w:tc>
          <w:tcPr>
            <w:tcW w:w="700" w:type="dxa"/>
            <w:vAlign w:val="bottom"/>
            <w:shd w:val="clear" w:color="auto" w:fill="CFF0FC"/>
          </w:tcPr>
          <w:p>
            <w:pPr>
              <w:spacing w:after="0"/>
              <w:rPr>
                <w:sz w:val="21"/>
                <w:szCs w:val="21"/>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(1 )</w:t>
            </w:r>
          </w:p>
        </w:tc>
        <w:tc>
          <w:tcPr>
            <w:tcW w:w="24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FF0FC"/>
          </w:tcPr>
          <w:p>
            <w:pPr>
              <w:spacing w:after="0"/>
              <w:rPr>
                <w:sz w:val="21"/>
                <w:szCs w:val="21"/>
                <w:color w:val="auto"/>
              </w:rPr>
            </w:pPr>
          </w:p>
        </w:tc>
      </w:tr>
      <w:tr>
        <w:trPr>
          <w:trHeight w:val="236"/>
        </w:trPr>
        <w:tc>
          <w:tcPr>
            <w:tcW w:w="6240" w:type="dxa"/>
            <w:vAlign w:val="bottom"/>
            <w:tcBorders>
              <w:top w:val="single" w:sz="8" w:color="CFF0FC"/>
            </w:tcBorders>
          </w:tcPr>
          <w:p>
            <w:pPr>
              <w:ind w:left="200"/>
              <w:spacing w:after="0"/>
              <w:rPr>
                <w:sz w:val="20"/>
                <w:szCs w:val="20"/>
                <w:color w:val="auto"/>
              </w:rPr>
            </w:pPr>
            <w:r>
              <w:rPr>
                <w:rFonts w:ascii="Times New Roman" w:cs="Times New Roman" w:eastAsia="Times New Roman" w:hAnsi="Times New Roman"/>
                <w:sz w:val="18"/>
                <w:szCs w:val="18"/>
                <w:color w:val="auto"/>
              </w:rPr>
              <w:t>Net income attributable to Company</w:t>
            </w:r>
          </w:p>
        </w:tc>
        <w:tc>
          <w:tcPr>
            <w:tcW w:w="720" w:type="dxa"/>
            <w:vAlign w:val="bottom"/>
            <w:tcBorders>
              <w:top w:val="single" w:sz="8" w:color="auto"/>
              <w:bottom w:val="single" w:sz="8" w:color="auto"/>
            </w:tcBorders>
          </w:tcPr>
          <w:p>
            <w:pPr>
              <w:jc w:val="right"/>
              <w:ind w:right="535"/>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260" w:type="dxa"/>
            <w:vAlign w:val="bottom"/>
            <w:tcBorders>
              <w:top w:val="single" w:sz="8" w:color="CFF0FC"/>
            </w:tcBorders>
          </w:tcPr>
          <w:p>
            <w:pPr>
              <w:spacing w:after="0"/>
              <w:rPr>
                <w:sz w:val="20"/>
                <w:szCs w:val="20"/>
                <w:color w:val="auto"/>
              </w:rPr>
            </w:pPr>
          </w:p>
        </w:tc>
        <w:tc>
          <w:tcPr>
            <w:tcW w:w="700" w:type="dxa"/>
            <w:vAlign w:val="bottom"/>
            <w:tcBorders>
              <w:top w:val="single" w:sz="8" w:color="auto"/>
              <w:bottom w:val="single" w:sz="8" w:color="auto"/>
            </w:tcBorders>
          </w:tcPr>
          <w:p>
            <w:pPr>
              <w:jc w:val="right"/>
              <w:ind w:right="513"/>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220" w:type="dxa"/>
            <w:vAlign w:val="bottom"/>
            <w:tcBorders>
              <w:top w:val="single" w:sz="8" w:color="CFF0FC"/>
            </w:tcBorders>
          </w:tcPr>
          <w:p>
            <w:pPr>
              <w:spacing w:after="0"/>
              <w:rPr>
                <w:sz w:val="20"/>
                <w:szCs w:val="20"/>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240" w:type="dxa"/>
            <w:vAlign w:val="bottom"/>
            <w:tcBorders>
              <w:top w:val="single" w:sz="8" w:color="CFF0FC"/>
            </w:tcBorders>
          </w:tcPr>
          <w:p>
            <w:pPr>
              <w:spacing w:after="0"/>
              <w:rPr>
                <w:sz w:val="20"/>
                <w:szCs w:val="20"/>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100" w:type="dxa"/>
            <w:vAlign w:val="bottom"/>
            <w:tcBorders>
              <w:top w:val="single" w:sz="8" w:color="CFF0FC"/>
            </w:tcBorders>
          </w:tcPr>
          <w:p>
            <w:pPr>
              <w:spacing w:after="0"/>
              <w:rPr>
                <w:sz w:val="20"/>
                <w:szCs w:val="20"/>
                <w:color w:val="auto"/>
              </w:rPr>
            </w:pPr>
          </w:p>
        </w:tc>
      </w:tr>
      <w:tr>
        <w:trPr>
          <w:trHeight w:val="20"/>
        </w:trPr>
        <w:tc>
          <w:tcPr>
            <w:tcW w:w="62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7"/>
        </w:trPr>
        <w:tc>
          <w:tcPr>
            <w:tcW w:w="6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 attributable to Company per share:</w:t>
            </w:r>
          </w:p>
        </w:tc>
        <w:tc>
          <w:tcPr>
            <w:tcW w:w="7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8"/>
        </w:trPr>
        <w:tc>
          <w:tcPr>
            <w:tcW w:w="6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Basic</w:t>
            </w:r>
          </w:p>
        </w:tc>
        <w:tc>
          <w:tcPr>
            <w:tcW w:w="72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0.57</w:t>
            </w:r>
          </w:p>
        </w:tc>
        <w:tc>
          <w:tcPr>
            <w:tcW w:w="260" w:type="dxa"/>
            <w:vAlign w:val="bottom"/>
          </w:tcPr>
          <w:p>
            <w:pPr>
              <w:spacing w:after="0"/>
              <w:rPr>
                <w:sz w:val="20"/>
                <w:szCs w:val="20"/>
                <w:color w:val="auto"/>
              </w:rPr>
            </w:pPr>
          </w:p>
        </w:tc>
        <w:tc>
          <w:tcPr>
            <w:tcW w:w="70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0.39</w:t>
            </w:r>
          </w:p>
        </w:tc>
        <w:tc>
          <w:tcPr>
            <w:tcW w:w="220" w:type="dxa"/>
            <w:vAlign w:val="bottom"/>
          </w:tcPr>
          <w:p>
            <w:pPr>
              <w:spacing w:after="0"/>
              <w:rPr>
                <w:sz w:val="20"/>
                <w:szCs w:val="20"/>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0.88</w:t>
            </w:r>
          </w:p>
        </w:tc>
        <w:tc>
          <w:tcPr>
            <w:tcW w:w="240" w:type="dxa"/>
            <w:vAlign w:val="bottom"/>
          </w:tcPr>
          <w:p>
            <w:pPr>
              <w:spacing w:after="0"/>
              <w:rPr>
                <w:sz w:val="20"/>
                <w:szCs w:val="20"/>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0.72</w:t>
            </w:r>
          </w:p>
        </w:tc>
        <w:tc>
          <w:tcPr>
            <w:tcW w:w="100" w:type="dxa"/>
            <w:vAlign w:val="bottom"/>
          </w:tcPr>
          <w:p>
            <w:pPr>
              <w:spacing w:after="0"/>
              <w:rPr>
                <w:sz w:val="20"/>
                <w:szCs w:val="20"/>
                <w:color w:val="auto"/>
              </w:rPr>
            </w:pPr>
          </w:p>
        </w:tc>
      </w:tr>
      <w:tr>
        <w:trPr>
          <w:trHeight w:val="20"/>
        </w:trPr>
        <w:tc>
          <w:tcPr>
            <w:tcW w:w="62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3"/>
        </w:trPr>
        <w:tc>
          <w:tcPr>
            <w:tcW w:w="62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Diluted</w:t>
            </w:r>
          </w:p>
        </w:tc>
        <w:tc>
          <w:tcPr>
            <w:tcW w:w="720" w:type="dxa"/>
            <w:vAlign w:val="bottom"/>
            <w:tcBorders>
              <w:bottom w:val="single" w:sz="8" w:color="auto"/>
            </w:tcBorders>
            <w:shd w:val="clear" w:color="auto" w:fill="CFF0FC"/>
          </w:tcPr>
          <w:p>
            <w:pPr>
              <w:jc w:val="right"/>
              <w:ind w:right="535"/>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0.57</w:t>
            </w:r>
          </w:p>
        </w:tc>
        <w:tc>
          <w:tcPr>
            <w:tcW w:w="260" w:type="dxa"/>
            <w:vAlign w:val="bottom"/>
            <w:tcBorders>
              <w:bottom w:val="single" w:sz="8" w:color="CFF0FC"/>
            </w:tcBorders>
            <w:shd w:val="clear" w:color="auto" w:fill="CFF0FC"/>
          </w:tcPr>
          <w:p>
            <w:pPr>
              <w:spacing w:after="0"/>
              <w:rPr>
                <w:sz w:val="22"/>
                <w:szCs w:val="22"/>
                <w:color w:val="auto"/>
              </w:rPr>
            </w:pPr>
          </w:p>
        </w:tc>
        <w:tc>
          <w:tcPr>
            <w:tcW w:w="700" w:type="dxa"/>
            <w:vAlign w:val="bottom"/>
            <w:tcBorders>
              <w:bottom w:val="single" w:sz="8" w:color="auto"/>
            </w:tcBorders>
            <w:shd w:val="clear" w:color="auto" w:fill="CFF0FC"/>
          </w:tcPr>
          <w:p>
            <w:pPr>
              <w:jc w:val="right"/>
              <w:ind w:right="513"/>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0.39</w:t>
            </w:r>
          </w:p>
        </w:tc>
        <w:tc>
          <w:tcPr>
            <w:tcW w:w="22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0.87</w:t>
            </w:r>
          </w:p>
        </w:tc>
        <w:tc>
          <w:tcPr>
            <w:tcW w:w="24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0.71</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23"/>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dividends per share</w:t>
            </w:r>
          </w:p>
        </w:tc>
        <w:tc>
          <w:tcPr>
            <w:tcW w:w="72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0.075</w:t>
            </w:r>
          </w:p>
        </w:tc>
        <w:tc>
          <w:tcPr>
            <w:tcW w:w="260" w:type="dxa"/>
            <w:vAlign w:val="bottom"/>
          </w:tcPr>
          <w:p>
            <w:pPr>
              <w:spacing w:after="0"/>
              <w:rPr>
                <w:sz w:val="19"/>
                <w:szCs w:val="19"/>
                <w:color w:val="auto"/>
              </w:rPr>
            </w:pPr>
          </w:p>
        </w:tc>
        <w:tc>
          <w:tcPr>
            <w:tcW w:w="70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22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0.125</w:t>
            </w:r>
          </w:p>
        </w:tc>
        <w:tc>
          <w:tcPr>
            <w:tcW w:w="24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100" w:type="dxa"/>
            <w:vAlign w:val="bottom"/>
          </w:tcPr>
          <w:p>
            <w:pPr>
              <w:spacing w:after="0"/>
              <w:rPr>
                <w:sz w:val="19"/>
                <w:szCs w:val="19"/>
                <w:color w:val="auto"/>
              </w:rPr>
            </w:pPr>
          </w:p>
        </w:tc>
      </w:tr>
      <w:tr>
        <w:trPr>
          <w:trHeight w:val="20"/>
        </w:trPr>
        <w:tc>
          <w:tcPr>
            <w:tcW w:w="62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7"/>
        </w:trPr>
        <w:tc>
          <w:tcPr>
            <w:tcW w:w="6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7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8"/>
        </w:trPr>
        <w:tc>
          <w:tcPr>
            <w:tcW w:w="6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Basic</w:t>
            </w:r>
          </w:p>
        </w:tc>
        <w:tc>
          <w:tcPr>
            <w:tcW w:w="72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260" w:type="dxa"/>
            <w:vAlign w:val="bottom"/>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100" w:type="dxa"/>
            <w:vAlign w:val="bottom"/>
          </w:tcPr>
          <w:p>
            <w:pPr>
              <w:spacing w:after="0"/>
              <w:rPr>
                <w:sz w:val="20"/>
                <w:szCs w:val="20"/>
                <w:color w:val="auto"/>
              </w:rPr>
            </w:pPr>
          </w:p>
        </w:tc>
      </w:tr>
      <w:tr>
        <w:trPr>
          <w:trHeight w:val="20"/>
        </w:trPr>
        <w:tc>
          <w:tcPr>
            <w:tcW w:w="62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3"/>
        </w:trPr>
        <w:tc>
          <w:tcPr>
            <w:tcW w:w="62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Diluted</w:t>
            </w:r>
          </w:p>
        </w:tc>
        <w:tc>
          <w:tcPr>
            <w:tcW w:w="720" w:type="dxa"/>
            <w:vAlign w:val="bottom"/>
            <w:tcBorders>
              <w:bottom w:val="single" w:sz="8" w:color="auto"/>
            </w:tcBorders>
            <w:shd w:val="clear" w:color="auto" w:fill="CFF0FC"/>
          </w:tcPr>
          <w:p>
            <w:pPr>
              <w:spacing w:after="0"/>
              <w:rPr>
                <w:sz w:val="22"/>
                <w:szCs w:val="22"/>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260" w:type="dxa"/>
            <w:vAlign w:val="bottom"/>
            <w:tcBorders>
              <w:bottom w:val="single" w:sz="8" w:color="CFF0FC"/>
            </w:tcBorders>
            <w:shd w:val="clear" w:color="auto" w:fill="CFF0FC"/>
          </w:tcPr>
          <w:p>
            <w:pPr>
              <w:spacing w:after="0"/>
              <w:rPr>
                <w:sz w:val="22"/>
                <w:szCs w:val="22"/>
                <w:color w:val="auto"/>
              </w:rPr>
            </w:pPr>
          </w:p>
        </w:tc>
        <w:tc>
          <w:tcPr>
            <w:tcW w:w="700" w:type="dxa"/>
            <w:vAlign w:val="bottom"/>
            <w:tcBorders>
              <w:bottom w:val="single" w:sz="8" w:color="auto"/>
            </w:tcBorders>
            <w:shd w:val="clear" w:color="auto" w:fill="CFF0FC"/>
          </w:tcPr>
          <w:p>
            <w:pPr>
              <w:spacing w:after="0"/>
              <w:rPr>
                <w:sz w:val="22"/>
                <w:szCs w:val="22"/>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22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auto"/>
            </w:tcBorders>
            <w:shd w:val="clear" w:color="auto" w:fill="CFF0FC"/>
          </w:tcPr>
          <w:p>
            <w:pPr>
              <w:spacing w:after="0"/>
              <w:rPr>
                <w:sz w:val="22"/>
                <w:szCs w:val="22"/>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24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auto"/>
            </w:tcBorders>
            <w:shd w:val="clear" w:color="auto" w:fill="CFF0FC"/>
          </w:tcPr>
          <w:p>
            <w:pPr>
              <w:spacing w:after="0"/>
              <w:rPr>
                <w:sz w:val="22"/>
                <w:szCs w:val="22"/>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4688840</wp:posOffset>
            </wp:positionH>
            <wp:positionV relativeFrom="paragraph">
              <wp:posOffset>-2028825</wp:posOffset>
            </wp:positionV>
            <wp:extent cx="7683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5561965</wp:posOffset>
            </wp:positionH>
            <wp:positionV relativeFrom="paragraph">
              <wp:posOffset>-2028825</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6315710</wp:posOffset>
            </wp:positionH>
            <wp:positionV relativeFrom="paragraph">
              <wp:posOffset>-2028825</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-2028825</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4688840</wp:posOffset>
            </wp:positionH>
            <wp:positionV relativeFrom="paragraph">
              <wp:posOffset>-1711960</wp:posOffset>
            </wp:positionV>
            <wp:extent cx="7683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5561965</wp:posOffset>
            </wp:positionH>
            <wp:positionV relativeFrom="paragraph">
              <wp:posOffset>-1711960</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6315710</wp:posOffset>
            </wp:positionH>
            <wp:positionV relativeFrom="paragraph">
              <wp:posOffset>-1711960</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-1711960</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4688840</wp:posOffset>
            </wp:positionH>
            <wp:positionV relativeFrom="paragraph">
              <wp:posOffset>-1395095</wp:posOffset>
            </wp:positionV>
            <wp:extent cx="7683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5561965</wp:posOffset>
            </wp:positionH>
            <wp:positionV relativeFrom="paragraph">
              <wp:posOffset>-1395095</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6315710</wp:posOffset>
            </wp:positionH>
            <wp:positionV relativeFrom="paragraph">
              <wp:posOffset>-1395095</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-1395095</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4688840</wp:posOffset>
            </wp:positionH>
            <wp:positionV relativeFrom="paragraph">
              <wp:posOffset>-718820</wp:posOffset>
            </wp:positionV>
            <wp:extent cx="7683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4688840</wp:posOffset>
            </wp:positionH>
            <wp:positionV relativeFrom="paragraph">
              <wp:posOffset>-701675</wp:posOffset>
            </wp:positionV>
            <wp:extent cx="7683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5561965</wp:posOffset>
            </wp:positionH>
            <wp:positionV relativeFrom="paragraph">
              <wp:posOffset>-718820</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5561965</wp:posOffset>
            </wp:positionH>
            <wp:positionV relativeFrom="paragraph">
              <wp:posOffset>-701675</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6315710</wp:posOffset>
            </wp:positionH>
            <wp:positionV relativeFrom="paragraph">
              <wp:posOffset>-718820</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6315710</wp:posOffset>
            </wp:positionH>
            <wp:positionV relativeFrom="paragraph">
              <wp:posOffset>-701675</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-718820</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-701675</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4688840</wp:posOffset>
            </wp:positionH>
            <wp:positionV relativeFrom="paragraph">
              <wp:posOffset>-24765</wp:posOffset>
            </wp:positionV>
            <wp:extent cx="7683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4688840</wp:posOffset>
            </wp:positionH>
            <wp:positionV relativeFrom="paragraph">
              <wp:posOffset>-7620</wp:posOffset>
            </wp:positionV>
            <wp:extent cx="7683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5561965</wp:posOffset>
            </wp:positionH>
            <wp:positionV relativeFrom="paragraph">
              <wp:posOffset>-24765</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5561965</wp:posOffset>
            </wp:positionH>
            <wp:positionV relativeFrom="paragraph">
              <wp:posOffset>-7620</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6315710</wp:posOffset>
            </wp:positionH>
            <wp:positionV relativeFrom="paragraph">
              <wp:posOffset>-24765</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6315710</wp:posOffset>
            </wp:positionH>
            <wp:positionV relativeFrom="paragraph">
              <wp:posOffset>-7620</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unaudited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NOV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480" w:type="dxa"/>
            <w:vAlign w:val="bottom"/>
          </w:tcPr>
          <w:p>
            <w:pPr>
              <w:spacing w:after="0"/>
              <w:rPr>
                <w:sz w:val="15"/>
                <w:szCs w:val="15"/>
                <w:color w:val="auto"/>
              </w:rPr>
            </w:pPr>
          </w:p>
        </w:tc>
        <w:tc>
          <w:tcPr>
            <w:tcW w:w="1880" w:type="dxa"/>
            <w:vAlign w:val="bottom"/>
            <w:gridSpan w:val="4"/>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20" w:type="dxa"/>
            <w:vAlign w:val="bottom"/>
            <w:gridSpan w:val="5"/>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87"/>
        </w:trPr>
        <w:tc>
          <w:tcPr>
            <w:tcW w:w="6480" w:type="dxa"/>
            <w:vAlign w:val="bottom"/>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3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6480" w:type="dxa"/>
            <w:vAlign w:val="bottom"/>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3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2024</w:t>
            </w:r>
          </w:p>
        </w:tc>
        <w:tc>
          <w:tcPr>
            <w:tcW w:w="3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236"/>
        </w:trPr>
        <w:tc>
          <w:tcPr>
            <w:tcW w:w="6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600" w:type="dxa"/>
            <w:vAlign w:val="bottom"/>
            <w:shd w:val="clear" w:color="auto" w:fill="CFF0FC"/>
          </w:tcPr>
          <w:p>
            <w:pPr>
              <w:jc w:val="right"/>
              <w:ind w:right="419"/>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380" w:type="dxa"/>
            <w:vAlign w:val="bottom"/>
            <w:shd w:val="clear" w:color="auto" w:fill="CFF0FC"/>
          </w:tcPr>
          <w:p>
            <w:pPr>
              <w:spacing w:after="0"/>
              <w:rPr>
                <w:sz w:val="20"/>
                <w:szCs w:val="20"/>
                <w:color w:val="auto"/>
              </w:rPr>
            </w:pPr>
          </w:p>
        </w:tc>
        <w:tc>
          <w:tcPr>
            <w:tcW w:w="600" w:type="dxa"/>
            <w:vAlign w:val="bottom"/>
            <w:shd w:val="clear" w:color="auto" w:fill="CFF0FC"/>
          </w:tcPr>
          <w:p>
            <w:pPr>
              <w:jc w:val="right"/>
              <w:ind w:right="416"/>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20" w:type="dxa"/>
            <w:vAlign w:val="bottom"/>
            <w:shd w:val="clear" w:color="auto" w:fill="CFF0FC"/>
          </w:tcPr>
          <w:p>
            <w:pPr>
              <w:spacing w:after="0"/>
              <w:rPr>
                <w:sz w:val="20"/>
                <w:szCs w:val="20"/>
                <w:color w:val="auto"/>
              </w:rPr>
            </w:pPr>
          </w:p>
        </w:tc>
        <w:tc>
          <w:tcPr>
            <w:tcW w:w="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360" w:type="dxa"/>
            <w:vAlign w:val="bottom"/>
            <w:shd w:val="clear" w:color="auto" w:fill="CFF0FC"/>
          </w:tcPr>
          <w:p>
            <w:pPr>
              <w:spacing w:after="0"/>
              <w:rPr>
                <w:sz w:val="20"/>
                <w:szCs w:val="20"/>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100" w:type="dxa"/>
            <w:vAlign w:val="bottom"/>
            <w:shd w:val="clear" w:color="auto" w:fill="CFF0FC"/>
          </w:tcPr>
          <w:p>
            <w:pPr>
              <w:spacing w:after="0"/>
              <w:rPr>
                <w:sz w:val="20"/>
                <w:szCs w:val="20"/>
                <w:color w:val="auto"/>
              </w:rPr>
            </w:pPr>
          </w:p>
        </w:tc>
      </w:tr>
      <w:tr>
        <w:trPr>
          <w:trHeight w:val="238"/>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Currency translation adjustments</w:t>
            </w:r>
          </w:p>
        </w:tc>
        <w:tc>
          <w:tcPr>
            <w:tcW w:w="600" w:type="dxa"/>
            <w:vAlign w:val="bottom"/>
          </w:tcPr>
          <w:p>
            <w:pPr>
              <w:spacing w:after="0"/>
              <w:rPr>
                <w:sz w:val="20"/>
                <w:szCs w:val="20"/>
                <w:color w:val="auto"/>
              </w:rPr>
            </w:pPr>
          </w:p>
        </w:tc>
        <w:tc>
          <w:tcPr>
            <w:tcW w:w="6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(31 )</w:t>
            </w:r>
          </w:p>
        </w:tc>
        <w:tc>
          <w:tcPr>
            <w:tcW w:w="600" w:type="dxa"/>
            <w:vAlign w:val="bottom"/>
          </w:tcPr>
          <w:p>
            <w:pPr>
              <w:spacing w:after="0"/>
              <w:rPr>
                <w:sz w:val="20"/>
                <w:szCs w:val="20"/>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(57 )</w:t>
            </w:r>
          </w:p>
        </w:tc>
        <w:tc>
          <w:tcPr>
            <w:tcW w:w="2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tcPr>
          <w:p>
            <w:pPr>
              <w:spacing w:after="0"/>
              <w:rPr>
                <w:sz w:val="20"/>
                <w:szCs w:val="20"/>
                <w:color w:val="auto"/>
              </w:rPr>
            </w:pPr>
          </w:p>
        </w:tc>
      </w:tr>
      <w:tr>
        <w:trPr>
          <w:trHeight w:val="247"/>
        </w:trPr>
        <w:tc>
          <w:tcPr>
            <w:tcW w:w="6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Changes in derivative financial instruments, net of tax</w:t>
            </w:r>
          </w:p>
        </w:tc>
        <w:tc>
          <w:tcPr>
            <w:tcW w:w="600" w:type="dxa"/>
            <w:vAlign w:val="bottom"/>
            <w:shd w:val="clear" w:color="auto" w:fill="CFF0FC"/>
          </w:tcPr>
          <w:p>
            <w:pPr>
              <w:spacing w:after="0"/>
              <w:rPr>
                <w:sz w:val="21"/>
                <w:szCs w:val="21"/>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38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4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(1 )</w:t>
            </w: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3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7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(11 )</w:t>
            </w:r>
          </w:p>
        </w:tc>
      </w:tr>
      <w:tr>
        <w:trPr>
          <w:trHeight w:val="238"/>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Changes in defined benefit plans, net of tax</w:t>
            </w:r>
          </w:p>
        </w:tc>
        <w:tc>
          <w:tcPr>
            <w:tcW w:w="600" w:type="dxa"/>
            <w:vAlign w:val="bottom"/>
          </w:tcPr>
          <w:p>
            <w:pPr>
              <w:spacing w:after="0"/>
              <w:rPr>
                <w:sz w:val="20"/>
                <w:szCs w:val="20"/>
                <w:color w:val="auto"/>
              </w:rPr>
            </w:pPr>
          </w:p>
        </w:tc>
        <w:tc>
          <w:tcPr>
            <w:tcW w:w="6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spacing w:after="0"/>
              <w:rPr>
                <w:sz w:val="20"/>
                <w:szCs w:val="20"/>
                <w:color w:val="auto"/>
              </w:rPr>
            </w:pPr>
          </w:p>
        </w:tc>
        <w:tc>
          <w:tcPr>
            <w:tcW w:w="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(3 )</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(1 )</w:t>
            </w:r>
          </w:p>
        </w:tc>
        <w:tc>
          <w:tcPr>
            <w:tcW w:w="2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20"/>
                <w:szCs w:val="20"/>
                <w:color w:val="auto"/>
              </w:rPr>
            </w:pPr>
          </w:p>
        </w:tc>
      </w:tr>
      <w:tr>
        <w:trPr>
          <w:trHeight w:val="240"/>
        </w:trPr>
        <w:tc>
          <w:tcPr>
            <w:tcW w:w="64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Comprehensive income</w:t>
            </w:r>
          </w:p>
        </w:tc>
        <w:tc>
          <w:tcPr>
            <w:tcW w:w="600" w:type="dxa"/>
            <w:vAlign w:val="bottom"/>
            <w:tcBorders>
              <w:top w:val="single" w:sz="8" w:color="auto"/>
            </w:tcBorders>
            <w:shd w:val="clear" w:color="auto" w:fill="CFF0FC"/>
          </w:tcPr>
          <w:p>
            <w:pPr>
              <w:spacing w:after="0"/>
              <w:rPr>
                <w:sz w:val="20"/>
                <w:szCs w:val="20"/>
                <w:color w:val="auto"/>
              </w:rPr>
            </w:pPr>
          </w:p>
        </w:tc>
        <w:tc>
          <w:tcPr>
            <w:tcW w:w="3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380" w:type="dxa"/>
            <w:vAlign w:val="bottom"/>
            <w:shd w:val="clear" w:color="auto" w:fill="CFF0FC"/>
          </w:tcPr>
          <w:p>
            <w:pPr>
              <w:spacing w:after="0"/>
              <w:rPr>
                <w:sz w:val="20"/>
                <w:szCs w:val="20"/>
                <w:color w:val="auto"/>
              </w:rPr>
            </w:pPr>
          </w:p>
        </w:tc>
        <w:tc>
          <w:tcPr>
            <w:tcW w:w="600" w:type="dxa"/>
            <w:vAlign w:val="bottom"/>
            <w:tcBorders>
              <w:top w:val="single" w:sz="8" w:color="auto"/>
            </w:tcBorders>
            <w:shd w:val="clear" w:color="auto" w:fill="CFF0FC"/>
          </w:tcPr>
          <w:p>
            <w:pPr>
              <w:spacing w:after="0"/>
              <w:rPr>
                <w:sz w:val="20"/>
                <w:szCs w:val="20"/>
                <w:color w:val="auto"/>
              </w:rPr>
            </w:pPr>
          </w:p>
        </w:tc>
        <w:tc>
          <w:tcPr>
            <w:tcW w:w="3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1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spacing w:after="0"/>
              <w:rPr>
                <w:sz w:val="20"/>
                <w:szCs w:val="20"/>
                <w:color w:val="auto"/>
              </w:rPr>
            </w:pPr>
          </w:p>
        </w:tc>
        <w:tc>
          <w:tcPr>
            <w:tcW w:w="6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360" w:type="dxa"/>
            <w:vAlign w:val="bottom"/>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spacing w:after="0"/>
              <w:rPr>
                <w:sz w:val="20"/>
                <w:szCs w:val="20"/>
                <w:color w:val="auto"/>
              </w:rPr>
            </w:pPr>
          </w:p>
        </w:tc>
        <w:tc>
          <w:tcPr>
            <w:tcW w:w="6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100" w:type="dxa"/>
            <w:vAlign w:val="bottom"/>
            <w:shd w:val="clear" w:color="auto" w:fill="CFF0FC"/>
          </w:tcPr>
          <w:p>
            <w:pPr>
              <w:spacing w:after="0"/>
              <w:rPr>
                <w:sz w:val="20"/>
                <w:szCs w:val="20"/>
                <w:color w:val="auto"/>
              </w:rPr>
            </w:pPr>
          </w:p>
        </w:tc>
      </w:tr>
      <w:tr>
        <w:trPr>
          <w:trHeight w:val="238"/>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income (loss) attributable to noncontrolling interest</w:t>
            </w:r>
          </w:p>
        </w:tc>
        <w:tc>
          <w:tcPr>
            <w:tcW w:w="600" w:type="dxa"/>
            <w:vAlign w:val="bottom"/>
          </w:tcPr>
          <w:p>
            <w:pPr>
              <w:spacing w:after="0"/>
              <w:rPr>
                <w:sz w:val="20"/>
                <w:szCs w:val="20"/>
                <w:color w:val="auto"/>
              </w:rPr>
            </w:pPr>
          </w:p>
        </w:tc>
        <w:tc>
          <w:tcPr>
            <w:tcW w:w="6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(3 )</w:t>
            </w:r>
          </w:p>
        </w:tc>
        <w:tc>
          <w:tcPr>
            <w:tcW w:w="600" w:type="dxa"/>
            <w:vAlign w:val="bottom"/>
          </w:tcPr>
          <w:p>
            <w:pPr>
              <w:spacing w:after="0"/>
              <w:rPr>
                <w:sz w:val="20"/>
                <w:szCs w:val="20"/>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(1 )</w:t>
            </w:r>
          </w:p>
        </w:tc>
        <w:tc>
          <w:tcPr>
            <w:tcW w:w="2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0"/>
                <w:szCs w:val="20"/>
                <w:color w:val="auto"/>
              </w:rPr>
            </w:pPr>
          </w:p>
        </w:tc>
      </w:tr>
      <w:tr>
        <w:trPr>
          <w:trHeight w:val="276"/>
        </w:trPr>
        <w:tc>
          <w:tcPr>
            <w:tcW w:w="64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Comprehensive income attributable to Company</w:t>
            </w:r>
          </w:p>
        </w:tc>
        <w:tc>
          <w:tcPr>
            <w:tcW w:w="600" w:type="dxa"/>
            <w:vAlign w:val="bottom"/>
            <w:tcBorders>
              <w:top w:val="single" w:sz="8" w:color="auto"/>
              <w:bottom w:val="single" w:sz="8" w:color="auto"/>
            </w:tcBorders>
            <w:shd w:val="clear" w:color="auto" w:fill="CFF0FC"/>
          </w:tcPr>
          <w:p>
            <w:pPr>
              <w:jc w:val="right"/>
              <w:ind w:right="419"/>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380" w:type="dxa"/>
            <w:vAlign w:val="bottom"/>
            <w:tcBorders>
              <w:bottom w:val="single" w:sz="8" w:color="CFF0FC"/>
            </w:tcBorders>
            <w:shd w:val="clear" w:color="auto" w:fill="CFF0FC"/>
          </w:tcPr>
          <w:p>
            <w:pPr>
              <w:spacing w:after="0"/>
              <w:rPr>
                <w:sz w:val="24"/>
                <w:szCs w:val="24"/>
                <w:color w:val="auto"/>
              </w:rPr>
            </w:pPr>
          </w:p>
        </w:tc>
        <w:tc>
          <w:tcPr>
            <w:tcW w:w="600" w:type="dxa"/>
            <w:vAlign w:val="bottom"/>
            <w:tcBorders>
              <w:top w:val="single" w:sz="8" w:color="auto"/>
              <w:bottom w:val="single" w:sz="8" w:color="auto"/>
            </w:tcBorders>
            <w:shd w:val="clear" w:color="auto" w:fill="CFF0FC"/>
          </w:tcPr>
          <w:p>
            <w:pPr>
              <w:jc w:val="right"/>
              <w:ind w:right="416"/>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2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36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4688840</wp:posOffset>
            </wp:positionH>
            <wp:positionV relativeFrom="paragraph">
              <wp:posOffset>-24765</wp:posOffset>
            </wp:positionV>
            <wp:extent cx="7683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4688840</wp:posOffset>
            </wp:positionH>
            <wp:positionV relativeFrom="paragraph">
              <wp:posOffset>-7620</wp:posOffset>
            </wp:positionV>
            <wp:extent cx="7683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5502275</wp:posOffset>
            </wp:positionH>
            <wp:positionV relativeFrom="paragraph">
              <wp:posOffset>-24765</wp:posOffset>
            </wp:positionV>
            <wp:extent cx="7683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5502275</wp:posOffset>
            </wp:positionH>
            <wp:positionV relativeFrom="paragraph">
              <wp:posOffset>-7620</wp:posOffset>
            </wp:positionV>
            <wp:extent cx="7683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6289675</wp:posOffset>
            </wp:positionH>
            <wp:positionV relativeFrom="paragraph">
              <wp:posOffset>-24765</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6289675</wp:posOffset>
            </wp:positionH>
            <wp:positionV relativeFrom="paragraph">
              <wp:posOffset>-7620</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unaudited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NOV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7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34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7"/>
        </w:trPr>
        <w:tc>
          <w:tcPr>
            <w:tcW w:w="774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ind w:right="33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740" w:type="dxa"/>
            <w:vAlign w:val="bottom"/>
          </w:tcPr>
          <w:p>
            <w:pPr>
              <w:spacing w:after="0"/>
              <w:rPr>
                <w:sz w:val="14"/>
                <w:szCs w:val="14"/>
                <w:color w:val="auto"/>
              </w:rPr>
            </w:pPr>
          </w:p>
        </w:tc>
        <w:tc>
          <w:tcPr>
            <w:tcW w:w="104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236"/>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1040" w:type="dxa"/>
            <w:vAlign w:val="bottom"/>
            <w:shd w:val="clear" w:color="auto" w:fill="CFF0FC"/>
          </w:tcPr>
          <w:p>
            <w:pPr>
              <w:spacing w:after="0"/>
              <w:rPr>
                <w:sz w:val="20"/>
                <w:szCs w:val="20"/>
                <w:color w:val="auto"/>
              </w:rPr>
            </w:pPr>
          </w:p>
        </w:tc>
        <w:tc>
          <w:tcPr>
            <w:tcW w:w="5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52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8"/>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income</w:t>
            </w:r>
          </w:p>
        </w:tc>
        <w:tc>
          <w:tcPr>
            <w:tcW w:w="1040" w:type="dxa"/>
            <w:vAlign w:val="bottom"/>
          </w:tcPr>
          <w:p>
            <w:pPr>
              <w:jc w:val="right"/>
              <w:ind w:right="833"/>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280" w:type="dxa"/>
            <w:vAlign w:val="bottom"/>
          </w:tcPr>
          <w:p>
            <w:pPr>
              <w:spacing w:after="0"/>
              <w:rPr>
                <w:sz w:val="20"/>
                <w:szCs w:val="20"/>
                <w:color w:val="auto"/>
              </w:rPr>
            </w:pP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100" w:type="dxa"/>
            <w:vAlign w:val="bottom"/>
          </w:tcPr>
          <w:p>
            <w:pPr>
              <w:spacing w:after="0"/>
              <w:rPr>
                <w:sz w:val="20"/>
                <w:szCs w:val="20"/>
                <w:color w:val="auto"/>
              </w:rPr>
            </w:pPr>
          </w:p>
        </w:tc>
      </w:tr>
      <w:tr>
        <w:trPr>
          <w:trHeight w:val="215"/>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(used in)</w:t>
            </w:r>
          </w:p>
        </w:tc>
        <w:tc>
          <w:tcPr>
            <w:tcW w:w="104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8"/>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operating activities:</w:t>
            </w:r>
          </w:p>
        </w:tc>
        <w:tc>
          <w:tcPr>
            <w:tcW w:w="104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7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00" w:type="dxa"/>
            <w:vAlign w:val="bottom"/>
          </w:tcPr>
          <w:p>
            <w:pPr>
              <w:spacing w:after="0"/>
              <w:rPr>
                <w:sz w:val="20"/>
                <w:szCs w:val="20"/>
                <w:color w:val="auto"/>
              </w:rPr>
            </w:pPr>
          </w:p>
        </w:tc>
      </w:tr>
      <w:tr>
        <w:trPr>
          <w:trHeight w:val="247"/>
        </w:trPr>
        <w:tc>
          <w:tcPr>
            <w:tcW w:w="77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Provision for inventory losses</w:t>
            </w:r>
          </w:p>
        </w:tc>
        <w:tc>
          <w:tcPr>
            <w:tcW w:w="1040" w:type="dxa"/>
            <w:vAlign w:val="bottom"/>
            <w:shd w:val="clear" w:color="auto" w:fill="CFF0FC"/>
          </w:tcPr>
          <w:p>
            <w:pPr>
              <w:spacing w:after="0"/>
              <w:rPr>
                <w:sz w:val="21"/>
                <w:szCs w:val="21"/>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8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FF0FC"/>
          </w:tcPr>
          <w:p>
            <w:pPr>
              <w:spacing w:after="0"/>
              <w:rPr>
                <w:sz w:val="21"/>
                <w:szCs w:val="21"/>
                <w:color w:val="auto"/>
              </w:rPr>
            </w:pPr>
          </w:p>
        </w:tc>
      </w:tr>
      <w:tr>
        <w:trPr>
          <w:trHeight w:val="238"/>
        </w:trPr>
        <w:tc>
          <w:tcPr>
            <w:tcW w:w="7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Deferred income taxes</w:t>
            </w:r>
          </w:p>
        </w:tc>
        <w:tc>
          <w:tcPr>
            <w:tcW w:w="10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(3 )</w:t>
            </w:r>
          </w:p>
        </w:tc>
      </w:tr>
      <w:tr>
        <w:trPr>
          <w:trHeight w:val="247"/>
        </w:trPr>
        <w:tc>
          <w:tcPr>
            <w:tcW w:w="77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Equity income in unconsolidated affiliates</w:t>
            </w:r>
          </w:p>
        </w:tc>
        <w:tc>
          <w:tcPr>
            <w:tcW w:w="1040" w:type="dxa"/>
            <w:vAlign w:val="bottom"/>
            <w:shd w:val="clear" w:color="auto" w:fill="CFF0FC"/>
          </w:tcPr>
          <w:p>
            <w:pPr>
              <w:spacing w:after="0"/>
              <w:rPr>
                <w:sz w:val="21"/>
                <w:szCs w:val="21"/>
                <w:color w:val="auto"/>
              </w:rPr>
            </w:pPr>
          </w:p>
        </w:tc>
        <w:tc>
          <w:tcPr>
            <w:tcW w:w="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(37 )</w:t>
            </w:r>
          </w:p>
        </w:tc>
        <w:tc>
          <w:tcPr>
            <w:tcW w:w="52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(85 )</w:t>
            </w:r>
          </w:p>
        </w:tc>
      </w:tr>
      <w:tr>
        <w:trPr>
          <w:trHeight w:val="238"/>
        </w:trPr>
        <w:tc>
          <w:tcPr>
            <w:tcW w:w="7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Dividend from unconsolidated affiliate</w:t>
            </w:r>
          </w:p>
        </w:tc>
        <w:tc>
          <w:tcPr>
            <w:tcW w:w="10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77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Stock-based compensation</w:t>
            </w:r>
          </w:p>
        </w:tc>
        <w:tc>
          <w:tcPr>
            <w:tcW w:w="1040" w:type="dxa"/>
            <w:vAlign w:val="bottom"/>
            <w:shd w:val="clear" w:color="auto" w:fill="CFF0FC"/>
          </w:tcPr>
          <w:p>
            <w:pPr>
              <w:spacing w:after="0"/>
              <w:rPr>
                <w:sz w:val="21"/>
                <w:szCs w:val="21"/>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8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shd w:val="clear" w:color="auto" w:fill="CFF0FC"/>
          </w:tcPr>
          <w:p>
            <w:pPr>
              <w:spacing w:after="0"/>
              <w:rPr>
                <w:sz w:val="21"/>
                <w:szCs w:val="21"/>
                <w:color w:val="auto"/>
              </w:rPr>
            </w:pPr>
          </w:p>
        </w:tc>
      </w:tr>
      <w:tr>
        <w:trPr>
          <w:trHeight w:val="238"/>
        </w:trPr>
        <w:tc>
          <w:tcPr>
            <w:tcW w:w="7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Gain on business divestiture</w:t>
            </w:r>
          </w:p>
        </w:tc>
        <w:tc>
          <w:tcPr>
            <w:tcW w:w="104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(131 )</w:t>
            </w:r>
          </w:p>
        </w:tc>
        <w:tc>
          <w:tcPr>
            <w:tcW w:w="520" w:type="dxa"/>
            <w:vAlign w:val="bottom"/>
          </w:tcPr>
          <w:p>
            <w:pPr>
              <w:spacing w:after="0"/>
              <w:rPr>
                <w:sz w:val="20"/>
                <w:szCs w:val="20"/>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77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Other, net</w:t>
            </w:r>
          </w:p>
        </w:tc>
        <w:tc>
          <w:tcPr>
            <w:tcW w:w="1040" w:type="dxa"/>
            <w:vAlign w:val="bottom"/>
            <w:shd w:val="clear" w:color="auto" w:fill="CFF0FC"/>
          </w:tcPr>
          <w:p>
            <w:pPr>
              <w:spacing w:after="0"/>
              <w:rPr>
                <w:sz w:val="21"/>
                <w:szCs w:val="21"/>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8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(18 )</w:t>
            </w:r>
          </w:p>
        </w:tc>
      </w:tr>
      <w:tr>
        <w:trPr>
          <w:trHeight w:val="238"/>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Change in operating assets and liabilities, net of acquisitions</w:t>
            </w:r>
          </w:p>
        </w:tc>
        <w:tc>
          <w:tcPr>
            <w:tcW w:w="10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7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Receivables</w:t>
            </w:r>
          </w:p>
        </w:tc>
        <w:tc>
          <w:tcPr>
            <w:tcW w:w="1040" w:type="dxa"/>
            <w:vAlign w:val="bottom"/>
            <w:shd w:val="clear" w:color="auto" w:fill="CFF0FC"/>
          </w:tcPr>
          <w:p>
            <w:pPr>
              <w:spacing w:after="0"/>
              <w:rPr>
                <w:sz w:val="21"/>
                <w:szCs w:val="21"/>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28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(161 )</w:t>
            </w:r>
          </w:p>
        </w:tc>
      </w:tr>
      <w:tr>
        <w:trPr>
          <w:trHeight w:val="238"/>
        </w:trPr>
        <w:tc>
          <w:tcPr>
            <w:tcW w:w="7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Inventories</w:t>
            </w:r>
          </w:p>
        </w:tc>
        <w:tc>
          <w:tcPr>
            <w:tcW w:w="10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(393 )</w:t>
            </w:r>
          </w:p>
        </w:tc>
      </w:tr>
      <w:tr>
        <w:trPr>
          <w:trHeight w:val="247"/>
        </w:trPr>
        <w:tc>
          <w:tcPr>
            <w:tcW w:w="77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Contract assets</w:t>
            </w:r>
          </w:p>
        </w:tc>
        <w:tc>
          <w:tcPr>
            <w:tcW w:w="1040" w:type="dxa"/>
            <w:vAlign w:val="bottom"/>
            <w:shd w:val="clear" w:color="auto" w:fill="CFF0FC"/>
          </w:tcPr>
          <w:p>
            <w:pPr>
              <w:spacing w:after="0"/>
              <w:rPr>
                <w:sz w:val="21"/>
                <w:szCs w:val="21"/>
                <w:color w:val="auto"/>
              </w:rPr>
            </w:pPr>
          </w:p>
        </w:tc>
        <w:tc>
          <w:tcPr>
            <w:tcW w:w="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(33 )</w:t>
            </w:r>
          </w:p>
        </w:tc>
        <w:tc>
          <w:tcPr>
            <w:tcW w:w="52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(19 )</w:t>
            </w:r>
          </w:p>
        </w:tc>
      </w:tr>
      <w:tr>
        <w:trPr>
          <w:trHeight w:val="238"/>
        </w:trPr>
        <w:tc>
          <w:tcPr>
            <w:tcW w:w="7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Prepaid and other current assets</w:t>
            </w:r>
          </w:p>
        </w:tc>
        <w:tc>
          <w:tcPr>
            <w:tcW w:w="104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(5 )</w:t>
            </w:r>
          </w:p>
        </w:tc>
        <w:tc>
          <w:tcPr>
            <w:tcW w:w="520" w:type="dxa"/>
            <w:vAlign w:val="bottom"/>
          </w:tcPr>
          <w:p>
            <w:pPr>
              <w:spacing w:after="0"/>
              <w:rPr>
                <w:sz w:val="20"/>
                <w:szCs w:val="20"/>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(36 )</w:t>
            </w:r>
          </w:p>
        </w:tc>
      </w:tr>
      <w:tr>
        <w:trPr>
          <w:trHeight w:val="247"/>
        </w:trPr>
        <w:tc>
          <w:tcPr>
            <w:tcW w:w="77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Accounts payable</w:t>
            </w:r>
          </w:p>
        </w:tc>
        <w:tc>
          <w:tcPr>
            <w:tcW w:w="1040" w:type="dxa"/>
            <w:vAlign w:val="bottom"/>
            <w:shd w:val="clear" w:color="auto" w:fill="CFF0FC"/>
          </w:tcPr>
          <w:p>
            <w:pPr>
              <w:spacing w:after="0"/>
              <w:rPr>
                <w:sz w:val="21"/>
                <w:szCs w:val="21"/>
                <w:color w:val="auto"/>
              </w:rPr>
            </w:pPr>
          </w:p>
        </w:tc>
        <w:tc>
          <w:tcPr>
            <w:tcW w:w="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(113 )</w:t>
            </w:r>
          </w:p>
        </w:tc>
        <w:tc>
          <w:tcPr>
            <w:tcW w:w="5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shd w:val="clear" w:color="auto" w:fill="CFF0FC"/>
          </w:tcPr>
          <w:p>
            <w:pPr>
              <w:spacing w:after="0"/>
              <w:rPr>
                <w:sz w:val="21"/>
                <w:szCs w:val="21"/>
                <w:color w:val="auto"/>
              </w:rPr>
            </w:pPr>
          </w:p>
        </w:tc>
      </w:tr>
      <w:tr>
        <w:trPr>
          <w:trHeight w:val="238"/>
        </w:trPr>
        <w:tc>
          <w:tcPr>
            <w:tcW w:w="7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Accrued liabilities</w:t>
            </w:r>
          </w:p>
        </w:tc>
        <w:tc>
          <w:tcPr>
            <w:tcW w:w="104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(112 )</w:t>
            </w:r>
          </w:p>
        </w:tc>
        <w:tc>
          <w:tcPr>
            <w:tcW w:w="520" w:type="dxa"/>
            <w:vAlign w:val="bottom"/>
          </w:tcPr>
          <w:p>
            <w:pPr>
              <w:spacing w:after="0"/>
              <w:rPr>
                <w:sz w:val="20"/>
                <w:szCs w:val="20"/>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(207 )</w:t>
            </w:r>
          </w:p>
        </w:tc>
      </w:tr>
      <w:tr>
        <w:trPr>
          <w:trHeight w:val="247"/>
        </w:trPr>
        <w:tc>
          <w:tcPr>
            <w:tcW w:w="77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Contract liabilities</w:t>
            </w:r>
          </w:p>
        </w:tc>
        <w:tc>
          <w:tcPr>
            <w:tcW w:w="1040" w:type="dxa"/>
            <w:vAlign w:val="bottom"/>
            <w:shd w:val="clear" w:color="auto" w:fill="CFF0FC"/>
          </w:tcPr>
          <w:p>
            <w:pPr>
              <w:spacing w:after="0"/>
              <w:rPr>
                <w:sz w:val="21"/>
                <w:szCs w:val="21"/>
                <w:color w:val="auto"/>
              </w:rPr>
            </w:pPr>
          </w:p>
        </w:tc>
        <w:tc>
          <w:tcPr>
            <w:tcW w:w="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(26 )</w:t>
            </w:r>
          </w:p>
        </w:tc>
        <w:tc>
          <w:tcPr>
            <w:tcW w:w="5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shd w:val="clear" w:color="auto" w:fill="CFF0FC"/>
          </w:tcPr>
          <w:p>
            <w:pPr>
              <w:spacing w:after="0"/>
              <w:rPr>
                <w:sz w:val="21"/>
                <w:szCs w:val="21"/>
                <w:color w:val="auto"/>
              </w:rPr>
            </w:pPr>
          </w:p>
        </w:tc>
      </w:tr>
      <w:tr>
        <w:trPr>
          <w:trHeight w:val="238"/>
        </w:trPr>
        <w:tc>
          <w:tcPr>
            <w:tcW w:w="7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Income taxes payable</w:t>
            </w:r>
          </w:p>
        </w:tc>
        <w:tc>
          <w:tcPr>
            <w:tcW w:w="104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(3 )</w:t>
            </w:r>
          </w:p>
        </w:tc>
        <w:tc>
          <w:tcPr>
            <w:tcW w:w="520" w:type="dxa"/>
            <w:vAlign w:val="bottom"/>
          </w:tcPr>
          <w:p>
            <w:pPr>
              <w:spacing w:after="0"/>
              <w:rPr>
                <w:sz w:val="20"/>
                <w:szCs w:val="20"/>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(17 )</w:t>
            </w:r>
          </w:p>
        </w:tc>
      </w:tr>
      <w:tr>
        <w:trPr>
          <w:trHeight w:val="243"/>
        </w:trPr>
        <w:tc>
          <w:tcPr>
            <w:tcW w:w="77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Other assets/liabilities, net</w:t>
            </w:r>
          </w:p>
        </w:tc>
        <w:tc>
          <w:tcPr>
            <w:tcW w:w="1040" w:type="dxa"/>
            <w:vAlign w:val="bottom"/>
            <w:shd w:val="clear" w:color="auto" w:fill="CFF0FC"/>
          </w:tcPr>
          <w:p>
            <w:pPr>
              <w:spacing w:after="0"/>
              <w:rPr>
                <w:sz w:val="21"/>
                <w:szCs w:val="21"/>
                <w:color w:val="auto"/>
              </w:rPr>
            </w:pPr>
          </w:p>
        </w:tc>
        <w:tc>
          <w:tcPr>
            <w:tcW w:w="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(54 )</w:t>
            </w:r>
          </w:p>
        </w:tc>
        <w:tc>
          <w:tcPr>
            <w:tcW w:w="5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shd w:val="clear" w:color="auto" w:fill="CFF0FC"/>
          </w:tcPr>
          <w:p>
            <w:pPr>
              <w:spacing w:after="0"/>
              <w:rPr>
                <w:sz w:val="21"/>
                <w:szCs w:val="21"/>
                <w:color w:val="auto"/>
              </w:rPr>
            </w:pPr>
          </w:p>
        </w:tc>
      </w:tr>
      <w:tr>
        <w:trPr>
          <w:trHeight w:val="20"/>
        </w:trPr>
        <w:tc>
          <w:tcPr>
            <w:tcW w:w="774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6"/>
        </w:trPr>
        <w:tc>
          <w:tcPr>
            <w:tcW w:w="77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1040" w:type="dxa"/>
            <w:vAlign w:val="bottom"/>
          </w:tcPr>
          <w:p>
            <w:pPr>
              <w:jc w:val="right"/>
              <w:ind w:right="833"/>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280" w:type="dxa"/>
            <w:vAlign w:val="bottom"/>
          </w:tcPr>
          <w:p>
            <w:pPr>
              <w:spacing w:after="0"/>
              <w:rPr>
                <w:sz w:val="20"/>
                <w:szCs w:val="20"/>
                <w:color w:val="auto"/>
              </w:rPr>
            </w:pP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(274 )</w:t>
            </w:r>
          </w:p>
        </w:tc>
      </w:tr>
      <w:tr>
        <w:trPr>
          <w:trHeight w:val="240"/>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1040" w:type="dxa"/>
            <w:vAlign w:val="bottom"/>
            <w:tcBorders>
              <w:top w:val="single" w:sz="8" w:color="auto"/>
            </w:tcBorders>
            <w:shd w:val="clear" w:color="auto" w:fill="CFF0FC"/>
          </w:tcPr>
          <w:p>
            <w:pPr>
              <w:spacing w:after="0"/>
              <w:rPr>
                <w:sz w:val="20"/>
                <w:szCs w:val="20"/>
                <w:color w:val="auto"/>
              </w:rPr>
            </w:pPr>
          </w:p>
        </w:tc>
        <w:tc>
          <w:tcPr>
            <w:tcW w:w="540" w:type="dxa"/>
            <w:vAlign w:val="bottom"/>
            <w:tcBorders>
              <w:top w:val="single" w:sz="8" w:color="auto"/>
            </w:tcBorders>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520" w:type="dxa"/>
            <w:vAlign w:val="bottom"/>
            <w:tcBorders>
              <w:top w:val="single" w:sz="8" w:color="auto"/>
            </w:tcBorders>
            <w:shd w:val="clear" w:color="auto" w:fill="CFF0FC"/>
          </w:tcPr>
          <w:p>
            <w:pPr>
              <w:spacing w:after="0"/>
              <w:rPr>
                <w:sz w:val="20"/>
                <w:szCs w:val="20"/>
                <w:color w:val="auto"/>
              </w:rPr>
            </w:pPr>
          </w:p>
        </w:tc>
        <w:tc>
          <w:tcPr>
            <w:tcW w:w="102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8"/>
        </w:trPr>
        <w:tc>
          <w:tcPr>
            <w:tcW w:w="7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Purchases of property, plant and equipment</w:t>
            </w:r>
          </w:p>
        </w:tc>
        <w:tc>
          <w:tcPr>
            <w:tcW w:w="104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(151 )</w:t>
            </w:r>
          </w:p>
        </w:tc>
        <w:tc>
          <w:tcPr>
            <w:tcW w:w="520" w:type="dxa"/>
            <w:vAlign w:val="bottom"/>
          </w:tcPr>
          <w:p>
            <w:pPr>
              <w:spacing w:after="0"/>
              <w:rPr>
                <w:sz w:val="20"/>
                <w:szCs w:val="20"/>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(133 )</w:t>
            </w:r>
          </w:p>
        </w:tc>
      </w:tr>
      <w:tr>
        <w:trPr>
          <w:trHeight w:val="247"/>
        </w:trPr>
        <w:tc>
          <w:tcPr>
            <w:tcW w:w="77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Business acquisitions, net of cash acquired</w:t>
            </w:r>
          </w:p>
        </w:tc>
        <w:tc>
          <w:tcPr>
            <w:tcW w:w="1040" w:type="dxa"/>
            <w:vAlign w:val="bottom"/>
            <w:shd w:val="clear" w:color="auto" w:fill="CFF0FC"/>
          </w:tcPr>
          <w:p>
            <w:pPr>
              <w:spacing w:after="0"/>
              <w:rPr>
                <w:sz w:val="21"/>
                <w:szCs w:val="21"/>
                <w:color w:val="auto"/>
              </w:rPr>
            </w:pPr>
          </w:p>
        </w:tc>
        <w:tc>
          <w:tcPr>
            <w:tcW w:w="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(252 )</w:t>
            </w:r>
          </w:p>
        </w:tc>
        <w:tc>
          <w:tcPr>
            <w:tcW w:w="52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8"/>
        </w:trPr>
        <w:tc>
          <w:tcPr>
            <w:tcW w:w="7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Business divestitures, net of cash disposed</w:t>
            </w:r>
          </w:p>
        </w:tc>
        <w:tc>
          <w:tcPr>
            <w:tcW w:w="10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74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Other</w:t>
            </w:r>
          </w:p>
        </w:tc>
        <w:tc>
          <w:tcPr>
            <w:tcW w:w="1040" w:type="dxa"/>
            <w:vAlign w:val="bottom"/>
            <w:tcBorders>
              <w:bottom w:val="single" w:sz="8" w:color="auto"/>
            </w:tcBorders>
            <w:shd w:val="clear" w:color="auto" w:fill="CFF0FC"/>
          </w:tcPr>
          <w:p>
            <w:pPr>
              <w:spacing w:after="0"/>
              <w:rPr>
                <w:sz w:val="21"/>
                <w:szCs w:val="21"/>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80" w:type="dxa"/>
            <w:vAlign w:val="bottom"/>
            <w:tcBorders>
              <w:bottom w:val="single" w:sz="8" w:color="CFF0FC"/>
            </w:tcBorders>
            <w:shd w:val="clear" w:color="auto" w:fill="CFF0FC"/>
          </w:tcPr>
          <w:p>
            <w:pPr>
              <w:spacing w:after="0"/>
              <w:rPr>
                <w:sz w:val="21"/>
                <w:szCs w:val="21"/>
                <w:color w:val="auto"/>
              </w:rPr>
            </w:pPr>
          </w:p>
        </w:tc>
        <w:tc>
          <w:tcPr>
            <w:tcW w:w="52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7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040" w:type="dxa"/>
            <w:vAlign w:val="bottom"/>
          </w:tcPr>
          <w:p>
            <w:pPr>
              <w:jc w:val="right"/>
              <w:ind w:right="833"/>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(226 )</w:t>
            </w: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(128 )</w:t>
            </w:r>
          </w:p>
        </w:tc>
      </w:tr>
      <w:tr>
        <w:trPr>
          <w:trHeight w:val="240"/>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1040" w:type="dxa"/>
            <w:vAlign w:val="bottom"/>
            <w:tcBorders>
              <w:top w:val="single" w:sz="8" w:color="auto"/>
            </w:tcBorders>
            <w:shd w:val="clear" w:color="auto" w:fill="CFF0FC"/>
          </w:tcPr>
          <w:p>
            <w:pPr>
              <w:spacing w:after="0"/>
              <w:rPr>
                <w:sz w:val="20"/>
                <w:szCs w:val="20"/>
                <w:color w:val="auto"/>
              </w:rPr>
            </w:pPr>
          </w:p>
        </w:tc>
        <w:tc>
          <w:tcPr>
            <w:tcW w:w="540" w:type="dxa"/>
            <w:vAlign w:val="bottom"/>
            <w:tcBorders>
              <w:top w:val="single" w:sz="8" w:color="auto"/>
            </w:tcBorders>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520" w:type="dxa"/>
            <w:vAlign w:val="bottom"/>
            <w:tcBorders>
              <w:top w:val="single" w:sz="8" w:color="auto"/>
            </w:tcBorders>
            <w:shd w:val="clear" w:color="auto" w:fill="CFF0FC"/>
          </w:tcPr>
          <w:p>
            <w:pPr>
              <w:spacing w:after="0"/>
              <w:rPr>
                <w:sz w:val="20"/>
                <w:szCs w:val="20"/>
                <w:color w:val="auto"/>
              </w:rPr>
            </w:pPr>
          </w:p>
        </w:tc>
        <w:tc>
          <w:tcPr>
            <w:tcW w:w="102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8"/>
        </w:trPr>
        <w:tc>
          <w:tcPr>
            <w:tcW w:w="7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Borrowings against lines of credit and other debt</w:t>
            </w:r>
          </w:p>
        </w:tc>
        <w:tc>
          <w:tcPr>
            <w:tcW w:w="10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0"/>
                <w:szCs w:val="20"/>
                <w:color w:val="auto"/>
              </w:rPr>
            </w:pPr>
          </w:p>
        </w:tc>
      </w:tr>
      <w:tr>
        <w:trPr>
          <w:trHeight w:val="247"/>
        </w:trPr>
        <w:tc>
          <w:tcPr>
            <w:tcW w:w="77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Payments against lines of credit and other debt</w:t>
            </w:r>
          </w:p>
        </w:tc>
        <w:tc>
          <w:tcPr>
            <w:tcW w:w="1040" w:type="dxa"/>
            <w:vAlign w:val="bottom"/>
            <w:shd w:val="clear" w:color="auto" w:fill="CFF0FC"/>
          </w:tcPr>
          <w:p>
            <w:pPr>
              <w:spacing w:after="0"/>
              <w:rPr>
                <w:sz w:val="21"/>
                <w:szCs w:val="21"/>
                <w:color w:val="auto"/>
              </w:rPr>
            </w:pPr>
          </w:p>
        </w:tc>
        <w:tc>
          <w:tcPr>
            <w:tcW w:w="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(422 )</w:t>
            </w:r>
          </w:p>
        </w:tc>
        <w:tc>
          <w:tcPr>
            <w:tcW w:w="52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(5 )</w:t>
            </w:r>
          </w:p>
        </w:tc>
      </w:tr>
      <w:tr>
        <w:trPr>
          <w:trHeight w:val="238"/>
        </w:trPr>
        <w:tc>
          <w:tcPr>
            <w:tcW w:w="7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Cash dividends paid</w:t>
            </w:r>
          </w:p>
        </w:tc>
        <w:tc>
          <w:tcPr>
            <w:tcW w:w="104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(50 )</w:t>
            </w:r>
          </w:p>
        </w:tc>
        <w:tc>
          <w:tcPr>
            <w:tcW w:w="520" w:type="dxa"/>
            <w:vAlign w:val="bottom"/>
          </w:tcPr>
          <w:p>
            <w:pPr>
              <w:spacing w:after="0"/>
              <w:rPr>
                <w:sz w:val="20"/>
                <w:szCs w:val="20"/>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(40 )</w:t>
            </w:r>
          </w:p>
        </w:tc>
      </w:tr>
      <w:tr>
        <w:trPr>
          <w:trHeight w:val="247"/>
        </w:trPr>
        <w:tc>
          <w:tcPr>
            <w:tcW w:w="77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Share repurchases</w:t>
            </w:r>
          </w:p>
        </w:tc>
        <w:tc>
          <w:tcPr>
            <w:tcW w:w="1040" w:type="dxa"/>
            <w:vAlign w:val="bottom"/>
            <w:shd w:val="clear" w:color="auto" w:fill="CFF0FC"/>
          </w:tcPr>
          <w:p>
            <w:pPr>
              <w:spacing w:after="0"/>
              <w:rPr>
                <w:sz w:val="21"/>
                <w:szCs w:val="21"/>
                <w:color w:val="auto"/>
              </w:rPr>
            </w:pPr>
          </w:p>
        </w:tc>
        <w:tc>
          <w:tcPr>
            <w:tcW w:w="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(37 )</w:t>
            </w:r>
          </w:p>
        </w:tc>
        <w:tc>
          <w:tcPr>
            <w:tcW w:w="52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8"/>
        </w:trPr>
        <w:tc>
          <w:tcPr>
            <w:tcW w:w="7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Financing leases</w:t>
            </w:r>
          </w:p>
        </w:tc>
        <w:tc>
          <w:tcPr>
            <w:tcW w:w="104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(13 )</w:t>
            </w:r>
          </w:p>
        </w:tc>
        <w:tc>
          <w:tcPr>
            <w:tcW w:w="520" w:type="dxa"/>
            <w:vAlign w:val="bottom"/>
          </w:tcPr>
          <w:p>
            <w:pPr>
              <w:spacing w:after="0"/>
              <w:rPr>
                <w:sz w:val="20"/>
                <w:szCs w:val="20"/>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(11 )</w:t>
            </w:r>
          </w:p>
        </w:tc>
      </w:tr>
      <w:tr>
        <w:trPr>
          <w:trHeight w:val="243"/>
        </w:trPr>
        <w:tc>
          <w:tcPr>
            <w:tcW w:w="77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Other</w:t>
            </w:r>
          </w:p>
        </w:tc>
        <w:tc>
          <w:tcPr>
            <w:tcW w:w="1040" w:type="dxa"/>
            <w:vAlign w:val="bottom"/>
            <w:shd w:val="clear" w:color="auto" w:fill="CFF0FC"/>
          </w:tcPr>
          <w:p>
            <w:pPr>
              <w:spacing w:after="0"/>
              <w:rPr>
                <w:sz w:val="21"/>
                <w:szCs w:val="21"/>
                <w:color w:val="auto"/>
              </w:rPr>
            </w:pPr>
          </w:p>
        </w:tc>
        <w:tc>
          <w:tcPr>
            <w:tcW w:w="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(10 )</w:t>
            </w:r>
          </w:p>
        </w:tc>
        <w:tc>
          <w:tcPr>
            <w:tcW w:w="52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(19 )</w:t>
            </w:r>
          </w:p>
        </w:tc>
      </w:tr>
      <w:tr>
        <w:trPr>
          <w:trHeight w:val="20"/>
        </w:trPr>
        <w:tc>
          <w:tcPr>
            <w:tcW w:w="774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6"/>
        </w:trPr>
        <w:tc>
          <w:tcPr>
            <w:tcW w:w="77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04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(113 )</w:t>
            </w:r>
          </w:p>
        </w:tc>
        <w:tc>
          <w:tcPr>
            <w:tcW w:w="520" w:type="dxa"/>
            <w:vAlign w:val="bottom"/>
          </w:tcPr>
          <w:p>
            <w:pPr>
              <w:spacing w:after="0"/>
              <w:rPr>
                <w:sz w:val="20"/>
                <w:szCs w:val="20"/>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(73 )</w:t>
            </w:r>
          </w:p>
        </w:tc>
      </w:tr>
      <w:tr>
        <w:trPr>
          <w:trHeight w:val="20"/>
        </w:trPr>
        <w:tc>
          <w:tcPr>
            <w:tcW w:w="774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Effect of exchange rates on cash</w:t>
            </w:r>
          </w:p>
        </w:tc>
        <w:tc>
          <w:tcPr>
            <w:tcW w:w="1040" w:type="dxa"/>
            <w:vAlign w:val="bottom"/>
            <w:shd w:val="clear" w:color="auto" w:fill="CFF0FC"/>
          </w:tcPr>
          <w:p>
            <w:pPr>
              <w:spacing w:after="0"/>
              <w:rPr>
                <w:sz w:val="20"/>
                <w:szCs w:val="20"/>
                <w:color w:val="auto"/>
              </w:rPr>
            </w:pPr>
          </w:p>
        </w:tc>
        <w:tc>
          <w:tcPr>
            <w:tcW w:w="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(4 )</w:t>
            </w:r>
          </w:p>
        </w:tc>
        <w:tc>
          <w:tcPr>
            <w:tcW w:w="52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(2 )</w:t>
            </w:r>
          </w:p>
        </w:tc>
      </w:tr>
      <w:tr>
        <w:trPr>
          <w:trHeight w:val="20"/>
        </w:trPr>
        <w:tc>
          <w:tcPr>
            <w:tcW w:w="774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6"/>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 (decrease) in cash and cash equivalents</w:t>
            </w:r>
          </w:p>
        </w:tc>
        <w:tc>
          <w:tcPr>
            <w:tcW w:w="10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(477 )</w:t>
            </w:r>
          </w:p>
        </w:tc>
      </w:tr>
      <w:tr>
        <w:trPr>
          <w:trHeight w:val="243"/>
        </w:trPr>
        <w:tc>
          <w:tcPr>
            <w:tcW w:w="77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1040" w:type="dxa"/>
            <w:vAlign w:val="bottom"/>
            <w:tcBorders>
              <w:bottom w:val="single" w:sz="8" w:color="auto"/>
            </w:tcBorders>
            <w:shd w:val="clear" w:color="auto" w:fill="CFF0FC"/>
          </w:tcPr>
          <w:p>
            <w:pPr>
              <w:spacing w:after="0"/>
              <w:rPr>
                <w:sz w:val="21"/>
                <w:szCs w:val="21"/>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816</w:t>
            </w:r>
          </w:p>
        </w:tc>
        <w:tc>
          <w:tcPr>
            <w:tcW w:w="280" w:type="dxa"/>
            <w:vAlign w:val="bottom"/>
            <w:tcBorders>
              <w:bottom w:val="single" w:sz="8" w:color="CFF0FC"/>
            </w:tcBorders>
            <w:shd w:val="clear" w:color="auto" w:fill="CFF0FC"/>
          </w:tcPr>
          <w:p>
            <w:pPr>
              <w:spacing w:after="0"/>
              <w:rPr>
                <w:sz w:val="21"/>
                <w:szCs w:val="21"/>
                <w:color w:val="auto"/>
              </w:rPr>
            </w:pPr>
          </w:p>
        </w:tc>
        <w:tc>
          <w:tcPr>
            <w:tcW w:w="52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1,069</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 end of period</w:t>
            </w:r>
          </w:p>
        </w:tc>
        <w:tc>
          <w:tcPr>
            <w:tcW w:w="1040" w:type="dxa"/>
            <w:vAlign w:val="bottom"/>
            <w:tcBorders>
              <w:bottom w:val="single" w:sz="8" w:color="auto"/>
            </w:tcBorders>
          </w:tcPr>
          <w:p>
            <w:pPr>
              <w:jc w:val="right"/>
              <w:ind w:right="833"/>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827</w:t>
            </w:r>
          </w:p>
        </w:tc>
        <w:tc>
          <w:tcPr>
            <w:tcW w:w="280" w:type="dxa"/>
            <w:vAlign w:val="bottom"/>
          </w:tcPr>
          <w:p>
            <w:pPr>
              <w:spacing w:after="0"/>
              <w:rPr>
                <w:sz w:val="20"/>
                <w:szCs w:val="20"/>
                <w:color w:val="auto"/>
              </w:rPr>
            </w:pPr>
          </w:p>
        </w:tc>
        <w:tc>
          <w:tcPr>
            <w:tcW w:w="5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592</w:t>
            </w:r>
          </w:p>
        </w:tc>
        <w:tc>
          <w:tcPr>
            <w:tcW w:w="100" w:type="dxa"/>
            <w:vAlign w:val="bottom"/>
          </w:tcPr>
          <w:p>
            <w:pPr>
              <w:spacing w:after="0"/>
              <w:rPr>
                <w:sz w:val="20"/>
                <w:szCs w:val="20"/>
                <w:color w:val="auto"/>
              </w:rPr>
            </w:pPr>
          </w:p>
        </w:tc>
      </w:tr>
      <w:tr>
        <w:trPr>
          <w:trHeight w:val="20"/>
        </w:trPr>
        <w:tc>
          <w:tcPr>
            <w:tcW w:w="77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7"/>
        </w:trPr>
        <w:tc>
          <w:tcPr>
            <w:tcW w:w="77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8"/>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Supplemental disclosures of cash flow information:</w:t>
            </w:r>
          </w:p>
        </w:tc>
        <w:tc>
          <w:tcPr>
            <w:tcW w:w="10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74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Cash payments during the period for:</w:t>
            </w:r>
          </w:p>
        </w:tc>
        <w:tc>
          <w:tcPr>
            <w:tcW w:w="104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774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Interest</w:t>
            </w:r>
          </w:p>
        </w:tc>
        <w:tc>
          <w:tcPr>
            <w:tcW w:w="1040" w:type="dxa"/>
            <w:vAlign w:val="bottom"/>
          </w:tcPr>
          <w:p>
            <w:pPr>
              <w:jc w:val="right"/>
              <w:ind w:right="833"/>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80" w:type="dxa"/>
            <w:vAlign w:val="bottom"/>
          </w:tcPr>
          <w:p>
            <w:pPr>
              <w:spacing w:after="0"/>
              <w:rPr>
                <w:sz w:val="20"/>
                <w:szCs w:val="20"/>
                <w:color w:val="auto"/>
              </w:rPr>
            </w:pP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20"/>
                <w:szCs w:val="20"/>
                <w:color w:val="auto"/>
              </w:rPr>
            </w:pPr>
          </w:p>
        </w:tc>
      </w:tr>
      <w:tr>
        <w:trPr>
          <w:trHeight w:val="247"/>
        </w:trPr>
        <w:tc>
          <w:tcPr>
            <w:tcW w:w="774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Income taxes</w:t>
            </w:r>
          </w:p>
        </w:tc>
        <w:tc>
          <w:tcPr>
            <w:tcW w:w="1040" w:type="dxa"/>
            <w:vAlign w:val="bottom"/>
            <w:shd w:val="clear" w:color="auto" w:fill="CFF0FC"/>
          </w:tcPr>
          <w:p>
            <w:pPr>
              <w:jc w:val="right"/>
              <w:ind w:right="833"/>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280" w:type="dxa"/>
            <w:vAlign w:val="bottom"/>
            <w:shd w:val="clear" w:color="auto" w:fill="CFF0FC"/>
          </w:tcPr>
          <w:p>
            <w:pPr>
              <w:spacing w:after="0"/>
              <w:rPr>
                <w:sz w:val="21"/>
                <w:szCs w:val="21"/>
                <w:color w:val="auto"/>
              </w:rPr>
            </w:pPr>
          </w:p>
        </w:tc>
        <w:tc>
          <w:tcPr>
            <w:tcW w:w="520" w:type="dxa"/>
            <w:vAlign w:val="bottom"/>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5913120</wp:posOffset>
            </wp:positionH>
            <wp:positionV relativeFrom="paragraph">
              <wp:posOffset>-3792220</wp:posOffset>
            </wp:positionV>
            <wp:extent cx="7683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-3792220</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5913120</wp:posOffset>
            </wp:positionH>
            <wp:positionV relativeFrom="paragraph">
              <wp:posOffset>-2850515</wp:posOffset>
            </wp:positionV>
            <wp:extent cx="7683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-2850515</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5913120</wp:posOffset>
            </wp:positionH>
            <wp:positionV relativeFrom="paragraph">
              <wp:posOffset>-1600835</wp:posOffset>
            </wp:positionV>
            <wp:extent cx="7683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-1600835</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5913120</wp:posOffset>
            </wp:positionH>
            <wp:positionV relativeFrom="paragraph">
              <wp:posOffset>-1275080</wp:posOffset>
            </wp:positionV>
            <wp:extent cx="7683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-1275080</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5913120</wp:posOffset>
            </wp:positionH>
            <wp:positionV relativeFrom="paragraph">
              <wp:posOffset>-958215</wp:posOffset>
            </wp:positionV>
            <wp:extent cx="7683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-958215</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unaudited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NOV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gridSpan w:val="3"/>
          </w:tcPr>
          <w:p>
            <w:pPr>
              <w:jc w:val="center"/>
              <w:ind w:right="139"/>
              <w:spacing w:after="0"/>
              <w:rPr>
                <w:sz w:val="20"/>
                <w:szCs w:val="20"/>
                <w:color w:val="auto"/>
              </w:rPr>
            </w:pPr>
            <w:r>
              <w:rPr>
                <w:rFonts w:ascii="Times New Roman" w:cs="Times New Roman" w:eastAsia="Times New Roman" w:hAnsi="Times New Roman"/>
                <w:sz w:val="11"/>
                <w:szCs w:val="11"/>
                <w:b w:val="1"/>
                <w:bCs w:val="1"/>
                <w:color w:val="auto"/>
                <w:w w:val="96"/>
              </w:rPr>
              <w:t>Accumulated</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21"/>
        </w:trPr>
        <w:tc>
          <w:tcPr>
            <w:tcW w:w="36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gridSpan w:val="2"/>
          </w:tcPr>
          <w:p>
            <w:pPr>
              <w:jc w:val="center"/>
              <w:ind w:right="299"/>
              <w:spacing w:after="0" w:line="122" w:lineRule="exact"/>
              <w:rPr>
                <w:sz w:val="20"/>
                <w:szCs w:val="20"/>
                <w:color w:val="auto"/>
              </w:rPr>
            </w:pPr>
            <w:r>
              <w:rPr>
                <w:rFonts w:ascii="Times New Roman" w:cs="Times New Roman" w:eastAsia="Times New Roman" w:hAnsi="Times New Roman"/>
                <w:sz w:val="11"/>
                <w:szCs w:val="11"/>
                <w:b w:val="1"/>
                <w:bCs w:val="1"/>
                <w:color w:val="auto"/>
                <w:w w:val="99"/>
              </w:rPr>
              <w:t>Other</w:t>
            </w: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gridSpan w:val="2"/>
          </w:tcPr>
          <w:p>
            <w:pPr>
              <w:jc w:val="center"/>
              <w:ind w:right="340"/>
              <w:spacing w:after="0" w:line="122" w:lineRule="exact"/>
              <w:rPr>
                <w:sz w:val="20"/>
                <w:szCs w:val="20"/>
                <w:color w:val="auto"/>
              </w:rPr>
            </w:pPr>
            <w:r>
              <w:rPr>
                <w:rFonts w:ascii="Times New Roman" w:cs="Times New Roman" w:eastAsia="Times New Roman" w:hAnsi="Times New Roman"/>
                <w:sz w:val="11"/>
                <w:szCs w:val="11"/>
                <w:b w:val="1"/>
                <w:bCs w:val="1"/>
                <w:color w:val="auto"/>
                <w:w w:val="95"/>
              </w:rPr>
              <w:t>Total</w:t>
            </w: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21"/>
        </w:trPr>
        <w:tc>
          <w:tcPr>
            <w:tcW w:w="3600" w:type="dxa"/>
            <w:vAlign w:val="bottom"/>
          </w:tcPr>
          <w:p>
            <w:pPr>
              <w:spacing w:after="0"/>
              <w:rPr>
                <w:sz w:val="10"/>
                <w:szCs w:val="10"/>
                <w:color w:val="auto"/>
              </w:rPr>
            </w:pPr>
          </w:p>
        </w:tc>
        <w:tc>
          <w:tcPr>
            <w:tcW w:w="1040" w:type="dxa"/>
            <w:vAlign w:val="bottom"/>
            <w:gridSpan w:val="2"/>
          </w:tcPr>
          <w:p>
            <w:pPr>
              <w:jc w:val="center"/>
              <w:ind w:right="240"/>
              <w:spacing w:after="0" w:line="122" w:lineRule="exact"/>
              <w:rPr>
                <w:sz w:val="20"/>
                <w:szCs w:val="20"/>
                <w:color w:val="auto"/>
              </w:rPr>
            </w:pPr>
            <w:r>
              <w:rPr>
                <w:rFonts w:ascii="Times New Roman" w:cs="Times New Roman" w:eastAsia="Times New Roman" w:hAnsi="Times New Roman"/>
                <w:sz w:val="11"/>
                <w:szCs w:val="11"/>
                <w:b w:val="1"/>
                <w:bCs w:val="1"/>
                <w:color w:val="auto"/>
                <w:w w:val="99"/>
              </w:rPr>
              <w:t>Shares Issued</w:t>
            </w: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gridSpan w:val="2"/>
          </w:tcPr>
          <w:p>
            <w:pPr>
              <w:jc w:val="center"/>
              <w:ind w:right="340"/>
              <w:spacing w:after="0" w:line="122" w:lineRule="exact"/>
              <w:rPr>
                <w:sz w:val="20"/>
                <w:szCs w:val="20"/>
                <w:color w:val="auto"/>
              </w:rPr>
            </w:pPr>
            <w:r>
              <w:rPr>
                <w:rFonts w:ascii="Times New Roman" w:cs="Times New Roman" w:eastAsia="Times New Roman" w:hAnsi="Times New Roman"/>
                <w:sz w:val="11"/>
                <w:szCs w:val="11"/>
                <w:b w:val="1"/>
                <w:bCs w:val="1"/>
                <w:color w:val="auto"/>
                <w:w w:val="95"/>
              </w:rPr>
              <w:t>Additional</w:t>
            </w:r>
          </w:p>
        </w:tc>
        <w:tc>
          <w:tcPr>
            <w:tcW w:w="940" w:type="dxa"/>
            <w:vAlign w:val="bottom"/>
            <w:gridSpan w:val="3"/>
          </w:tcPr>
          <w:p>
            <w:pPr>
              <w:jc w:val="center"/>
              <w:ind w:right="139"/>
              <w:spacing w:after="0" w:line="122" w:lineRule="exact"/>
              <w:rPr>
                <w:sz w:val="20"/>
                <w:szCs w:val="20"/>
                <w:color w:val="auto"/>
              </w:rPr>
            </w:pPr>
            <w:r>
              <w:rPr>
                <w:rFonts w:ascii="Times New Roman" w:cs="Times New Roman" w:eastAsia="Times New Roman" w:hAnsi="Times New Roman"/>
                <w:sz w:val="11"/>
                <w:szCs w:val="11"/>
                <w:b w:val="1"/>
                <w:bCs w:val="1"/>
                <w:color w:val="auto"/>
                <w:w w:val="99"/>
              </w:rPr>
              <w:t>Comprehensiv</w:t>
            </w: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gridSpan w:val="2"/>
          </w:tcPr>
          <w:p>
            <w:pPr>
              <w:jc w:val="center"/>
              <w:ind w:right="320"/>
              <w:spacing w:after="0" w:line="122" w:lineRule="exact"/>
              <w:rPr>
                <w:sz w:val="20"/>
                <w:szCs w:val="20"/>
                <w:color w:val="auto"/>
              </w:rPr>
            </w:pPr>
            <w:r>
              <w:rPr>
                <w:rFonts w:ascii="Times New Roman" w:cs="Times New Roman" w:eastAsia="Times New Roman" w:hAnsi="Times New Roman"/>
                <w:sz w:val="11"/>
                <w:szCs w:val="11"/>
                <w:b w:val="1"/>
                <w:bCs w:val="1"/>
                <w:color w:val="auto"/>
              </w:rPr>
              <w:t>Company</w:t>
            </w: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gridSpan w:val="2"/>
          </w:tcPr>
          <w:p>
            <w:pPr>
              <w:jc w:val="center"/>
              <w:ind w:right="260"/>
              <w:spacing w:after="0" w:line="122" w:lineRule="exact"/>
              <w:rPr>
                <w:sz w:val="20"/>
                <w:szCs w:val="20"/>
                <w:color w:val="auto"/>
              </w:rPr>
            </w:pPr>
            <w:r>
              <w:rPr>
                <w:rFonts w:ascii="Times New Roman" w:cs="Times New Roman" w:eastAsia="Times New Roman" w:hAnsi="Times New Roman"/>
                <w:sz w:val="11"/>
                <w:szCs w:val="11"/>
                <w:b w:val="1"/>
                <w:bCs w:val="1"/>
                <w:color w:val="auto"/>
                <w:w w:val="95"/>
              </w:rPr>
              <w:t>Total</w:t>
            </w:r>
          </w:p>
        </w:tc>
      </w:tr>
      <w:tr>
        <w:trPr>
          <w:trHeight w:val="121"/>
        </w:trPr>
        <w:tc>
          <w:tcPr>
            <w:tcW w:w="3600" w:type="dxa"/>
            <w:vAlign w:val="bottom"/>
          </w:tcPr>
          <w:p>
            <w:pPr>
              <w:spacing w:after="0"/>
              <w:rPr>
                <w:sz w:val="10"/>
                <w:szCs w:val="10"/>
                <w:color w:val="auto"/>
              </w:rPr>
            </w:pPr>
          </w:p>
        </w:tc>
        <w:tc>
          <w:tcPr>
            <w:tcW w:w="1040" w:type="dxa"/>
            <w:vAlign w:val="bottom"/>
            <w:gridSpan w:val="2"/>
          </w:tcPr>
          <w:p>
            <w:pPr>
              <w:jc w:val="center"/>
              <w:ind w:right="240"/>
              <w:spacing w:after="0" w:line="122" w:lineRule="exact"/>
              <w:rPr>
                <w:sz w:val="20"/>
                <w:szCs w:val="20"/>
                <w:color w:val="auto"/>
              </w:rPr>
            </w:pPr>
            <w:r>
              <w:rPr>
                <w:rFonts w:ascii="Times New Roman" w:cs="Times New Roman" w:eastAsia="Times New Roman" w:hAnsi="Times New Roman"/>
                <w:sz w:val="11"/>
                <w:szCs w:val="11"/>
                <w:b w:val="1"/>
                <w:bCs w:val="1"/>
                <w:color w:val="auto"/>
                <w:w w:val="89"/>
              </w:rPr>
              <w:t>and</w:t>
            </w:r>
          </w:p>
        </w:tc>
        <w:tc>
          <w:tcPr>
            <w:tcW w:w="140" w:type="dxa"/>
            <w:vAlign w:val="bottom"/>
          </w:tcPr>
          <w:p>
            <w:pPr>
              <w:spacing w:after="0"/>
              <w:rPr>
                <w:sz w:val="10"/>
                <w:szCs w:val="10"/>
                <w:color w:val="auto"/>
              </w:rPr>
            </w:pPr>
          </w:p>
        </w:tc>
        <w:tc>
          <w:tcPr>
            <w:tcW w:w="620" w:type="dxa"/>
            <w:vAlign w:val="bottom"/>
          </w:tcPr>
          <w:p>
            <w:pPr>
              <w:jc w:val="center"/>
              <w:ind w:right="42"/>
              <w:spacing w:after="0" w:line="122" w:lineRule="exact"/>
              <w:rPr>
                <w:sz w:val="20"/>
                <w:szCs w:val="20"/>
                <w:color w:val="auto"/>
              </w:rPr>
            </w:pPr>
            <w:r>
              <w:rPr>
                <w:rFonts w:ascii="Times New Roman" w:cs="Times New Roman" w:eastAsia="Times New Roman" w:hAnsi="Times New Roman"/>
                <w:sz w:val="11"/>
                <w:szCs w:val="11"/>
                <w:b w:val="1"/>
                <w:bCs w:val="1"/>
                <w:color w:val="auto"/>
                <w:w w:val="96"/>
              </w:rPr>
              <w:t>Common</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gridSpan w:val="2"/>
          </w:tcPr>
          <w:p>
            <w:pPr>
              <w:jc w:val="center"/>
              <w:ind w:right="340"/>
              <w:spacing w:after="0" w:line="122" w:lineRule="exact"/>
              <w:rPr>
                <w:sz w:val="20"/>
                <w:szCs w:val="20"/>
                <w:color w:val="auto"/>
              </w:rPr>
            </w:pPr>
            <w:r>
              <w:rPr>
                <w:rFonts w:ascii="Times New Roman" w:cs="Times New Roman" w:eastAsia="Times New Roman" w:hAnsi="Times New Roman"/>
                <w:sz w:val="11"/>
                <w:szCs w:val="11"/>
                <w:b w:val="1"/>
                <w:bCs w:val="1"/>
                <w:color w:val="auto"/>
                <w:w w:val="93"/>
              </w:rPr>
              <w:t>Paid-in</w:t>
            </w:r>
          </w:p>
        </w:tc>
        <w:tc>
          <w:tcPr>
            <w:tcW w:w="160" w:type="dxa"/>
            <w:vAlign w:val="bottom"/>
          </w:tcPr>
          <w:p>
            <w:pPr>
              <w:spacing w:after="0"/>
              <w:rPr>
                <w:sz w:val="10"/>
                <w:szCs w:val="10"/>
                <w:color w:val="auto"/>
              </w:rPr>
            </w:pPr>
          </w:p>
        </w:tc>
        <w:tc>
          <w:tcPr>
            <w:tcW w:w="780" w:type="dxa"/>
            <w:vAlign w:val="bottom"/>
            <w:gridSpan w:val="2"/>
          </w:tcPr>
          <w:p>
            <w:pPr>
              <w:jc w:val="center"/>
              <w:ind w:right="299"/>
              <w:spacing w:after="0" w:line="122" w:lineRule="exact"/>
              <w:rPr>
                <w:sz w:val="20"/>
                <w:szCs w:val="20"/>
                <w:color w:val="auto"/>
              </w:rPr>
            </w:pPr>
            <w:r>
              <w:rPr>
                <w:rFonts w:ascii="Times New Roman" w:cs="Times New Roman" w:eastAsia="Times New Roman" w:hAnsi="Times New Roman"/>
                <w:sz w:val="11"/>
                <w:szCs w:val="11"/>
                <w:b w:val="1"/>
                <w:bCs w:val="1"/>
                <w:color w:val="auto"/>
                <w:w w:val="80"/>
              </w:rPr>
              <w:t>e</w:t>
            </w:r>
          </w:p>
        </w:tc>
        <w:tc>
          <w:tcPr>
            <w:tcW w:w="120" w:type="dxa"/>
            <w:vAlign w:val="bottom"/>
          </w:tcPr>
          <w:p>
            <w:pPr>
              <w:spacing w:after="0"/>
              <w:rPr>
                <w:sz w:val="10"/>
                <w:szCs w:val="10"/>
                <w:color w:val="auto"/>
              </w:rPr>
            </w:pPr>
          </w:p>
        </w:tc>
        <w:tc>
          <w:tcPr>
            <w:tcW w:w="820" w:type="dxa"/>
            <w:vAlign w:val="bottom"/>
            <w:gridSpan w:val="2"/>
          </w:tcPr>
          <w:p>
            <w:pPr>
              <w:jc w:val="center"/>
              <w:ind w:right="259"/>
              <w:spacing w:after="0" w:line="122" w:lineRule="exact"/>
              <w:rPr>
                <w:sz w:val="20"/>
                <w:szCs w:val="20"/>
                <w:color w:val="auto"/>
              </w:rPr>
            </w:pPr>
            <w:r>
              <w:rPr>
                <w:rFonts w:ascii="Times New Roman" w:cs="Times New Roman" w:eastAsia="Times New Roman" w:hAnsi="Times New Roman"/>
                <w:sz w:val="11"/>
                <w:szCs w:val="11"/>
                <w:b w:val="1"/>
                <w:bCs w:val="1"/>
                <w:color w:val="auto"/>
                <w:w w:val="94"/>
              </w:rPr>
              <w:t>Retained</w:t>
            </w:r>
          </w:p>
        </w:tc>
        <w:tc>
          <w:tcPr>
            <w:tcW w:w="940" w:type="dxa"/>
            <w:vAlign w:val="bottom"/>
            <w:gridSpan w:val="3"/>
          </w:tcPr>
          <w:p>
            <w:pPr>
              <w:jc w:val="center"/>
              <w:ind w:right="200"/>
              <w:spacing w:after="0" w:line="122" w:lineRule="exact"/>
              <w:rPr>
                <w:sz w:val="20"/>
                <w:szCs w:val="20"/>
                <w:color w:val="auto"/>
              </w:rPr>
            </w:pPr>
            <w:r>
              <w:rPr>
                <w:rFonts w:ascii="Times New Roman" w:cs="Times New Roman" w:eastAsia="Times New Roman" w:hAnsi="Times New Roman"/>
                <w:sz w:val="11"/>
                <w:szCs w:val="11"/>
                <w:b w:val="1"/>
                <w:bCs w:val="1"/>
                <w:color w:val="auto"/>
                <w:w w:val="96"/>
              </w:rPr>
              <w:t>Stockholders'</w:t>
            </w:r>
          </w:p>
        </w:tc>
        <w:tc>
          <w:tcPr>
            <w:tcW w:w="960" w:type="dxa"/>
            <w:vAlign w:val="bottom"/>
            <w:gridSpan w:val="3"/>
          </w:tcPr>
          <w:p>
            <w:pPr>
              <w:ind w:left="20"/>
              <w:spacing w:after="0" w:line="122" w:lineRule="exact"/>
              <w:rPr>
                <w:sz w:val="20"/>
                <w:szCs w:val="20"/>
                <w:color w:val="auto"/>
              </w:rPr>
            </w:pPr>
            <w:r>
              <w:rPr>
                <w:rFonts w:ascii="Times New Roman" w:cs="Times New Roman" w:eastAsia="Times New Roman" w:hAnsi="Times New Roman"/>
                <w:sz w:val="11"/>
                <w:szCs w:val="11"/>
                <w:b w:val="1"/>
                <w:bCs w:val="1"/>
                <w:color w:val="auto"/>
              </w:rPr>
              <w:t>Noncontrolling</w:t>
            </w:r>
          </w:p>
        </w:tc>
        <w:tc>
          <w:tcPr>
            <w:tcW w:w="840" w:type="dxa"/>
            <w:vAlign w:val="bottom"/>
            <w:gridSpan w:val="3"/>
          </w:tcPr>
          <w:p>
            <w:pPr>
              <w:jc w:val="center"/>
              <w:ind w:right="120"/>
              <w:spacing w:after="0" w:line="122" w:lineRule="exact"/>
              <w:rPr>
                <w:sz w:val="20"/>
                <w:szCs w:val="20"/>
                <w:color w:val="auto"/>
              </w:rPr>
            </w:pPr>
            <w:r>
              <w:rPr>
                <w:rFonts w:ascii="Times New Roman" w:cs="Times New Roman" w:eastAsia="Times New Roman" w:hAnsi="Times New Roman"/>
                <w:sz w:val="11"/>
                <w:szCs w:val="11"/>
                <w:b w:val="1"/>
                <w:bCs w:val="1"/>
                <w:color w:val="auto"/>
                <w:w w:val="99"/>
              </w:rPr>
              <w:t>Stockholders'</w:t>
            </w:r>
          </w:p>
        </w:tc>
      </w:tr>
      <w:tr>
        <w:trPr>
          <w:trHeight w:val="144"/>
        </w:trPr>
        <w:tc>
          <w:tcPr>
            <w:tcW w:w="3600" w:type="dxa"/>
            <w:vAlign w:val="bottom"/>
          </w:tcPr>
          <w:p>
            <w:pPr>
              <w:spacing w:after="0"/>
              <w:rPr>
                <w:sz w:val="12"/>
                <w:szCs w:val="12"/>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w w:val="95"/>
              </w:rPr>
              <w:t>Outstanding</w:t>
            </w:r>
          </w:p>
        </w:tc>
        <w:tc>
          <w:tcPr>
            <w:tcW w:w="140" w:type="dxa"/>
            <w:vAlign w:val="bottom"/>
          </w:tcPr>
          <w:p>
            <w:pPr>
              <w:spacing w:after="0"/>
              <w:rPr>
                <w:sz w:val="12"/>
                <w:szCs w:val="12"/>
                <w:color w:val="auto"/>
              </w:rPr>
            </w:pPr>
          </w:p>
        </w:tc>
        <w:tc>
          <w:tcPr>
            <w:tcW w:w="620" w:type="dxa"/>
            <w:vAlign w:val="bottom"/>
          </w:tcPr>
          <w:p>
            <w:pPr>
              <w:jc w:val="center"/>
              <w:ind w:right="42"/>
              <w:spacing w:after="0"/>
              <w:rPr>
                <w:sz w:val="20"/>
                <w:szCs w:val="20"/>
                <w:color w:val="auto"/>
              </w:rPr>
            </w:pPr>
            <w:r>
              <w:rPr>
                <w:rFonts w:ascii="Times New Roman" w:cs="Times New Roman" w:eastAsia="Times New Roman" w:hAnsi="Times New Roman"/>
                <w:sz w:val="11"/>
                <w:szCs w:val="11"/>
                <w:b w:val="1"/>
                <w:bCs w:val="1"/>
                <w:color w:val="auto"/>
                <w:w w:val="98"/>
              </w:rPr>
              <w:t>Stock</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center"/>
              <w:ind w:right="320"/>
              <w:spacing w:after="0"/>
              <w:rPr>
                <w:sz w:val="20"/>
                <w:szCs w:val="20"/>
                <w:color w:val="auto"/>
              </w:rPr>
            </w:pPr>
            <w:r>
              <w:rPr>
                <w:rFonts w:ascii="Times New Roman" w:cs="Times New Roman" w:eastAsia="Times New Roman" w:hAnsi="Times New Roman"/>
                <w:sz w:val="11"/>
                <w:szCs w:val="11"/>
                <w:b w:val="1"/>
                <w:bCs w:val="1"/>
                <w:color w:val="auto"/>
                <w:w w:val="97"/>
              </w:rPr>
              <w:t>Capital</w:t>
            </w:r>
          </w:p>
        </w:tc>
        <w:tc>
          <w:tcPr>
            <w:tcW w:w="160" w:type="dxa"/>
            <w:vAlign w:val="bottom"/>
          </w:tcPr>
          <w:p>
            <w:pPr>
              <w:spacing w:after="0"/>
              <w:rPr>
                <w:sz w:val="12"/>
                <w:szCs w:val="12"/>
                <w:color w:val="auto"/>
              </w:rPr>
            </w:pPr>
          </w:p>
        </w:tc>
        <w:tc>
          <w:tcPr>
            <w:tcW w:w="780" w:type="dxa"/>
            <w:vAlign w:val="bottom"/>
            <w:gridSpan w:val="2"/>
          </w:tcPr>
          <w:p>
            <w:pPr>
              <w:jc w:val="center"/>
              <w:ind w:right="299"/>
              <w:spacing w:after="0"/>
              <w:rPr>
                <w:sz w:val="20"/>
                <w:szCs w:val="20"/>
                <w:color w:val="auto"/>
              </w:rPr>
            </w:pPr>
            <w:r>
              <w:rPr>
                <w:rFonts w:ascii="Times New Roman" w:cs="Times New Roman" w:eastAsia="Times New Roman" w:hAnsi="Times New Roman"/>
                <w:sz w:val="11"/>
                <w:szCs w:val="11"/>
                <w:b w:val="1"/>
                <w:bCs w:val="1"/>
                <w:color w:val="auto"/>
                <w:w w:val="93"/>
              </w:rPr>
              <w:t>Loss</w:t>
            </w:r>
          </w:p>
        </w:tc>
        <w:tc>
          <w:tcPr>
            <w:tcW w:w="120" w:type="dxa"/>
            <w:vAlign w:val="bottom"/>
          </w:tcPr>
          <w:p>
            <w:pPr>
              <w:spacing w:after="0"/>
              <w:rPr>
                <w:sz w:val="12"/>
                <w:szCs w:val="12"/>
                <w:color w:val="auto"/>
              </w:rPr>
            </w:pPr>
          </w:p>
        </w:tc>
        <w:tc>
          <w:tcPr>
            <w:tcW w:w="820" w:type="dxa"/>
            <w:vAlign w:val="bottom"/>
            <w:gridSpan w:val="2"/>
          </w:tcPr>
          <w:p>
            <w:pPr>
              <w:jc w:val="center"/>
              <w:ind w:right="239"/>
              <w:spacing w:after="0"/>
              <w:rPr>
                <w:sz w:val="20"/>
                <w:szCs w:val="20"/>
                <w:color w:val="auto"/>
              </w:rPr>
            </w:pPr>
            <w:r>
              <w:rPr>
                <w:rFonts w:ascii="Times New Roman" w:cs="Times New Roman" w:eastAsia="Times New Roman" w:hAnsi="Times New Roman"/>
                <w:sz w:val="11"/>
                <w:szCs w:val="11"/>
                <w:b w:val="1"/>
                <w:bCs w:val="1"/>
                <w:color w:val="auto"/>
                <w:w w:val="96"/>
              </w:rPr>
              <w:t>Deficit</w:t>
            </w:r>
          </w:p>
        </w:tc>
        <w:tc>
          <w:tcPr>
            <w:tcW w:w="120" w:type="dxa"/>
            <w:vAlign w:val="bottom"/>
          </w:tcPr>
          <w:p>
            <w:pPr>
              <w:spacing w:after="0"/>
              <w:rPr>
                <w:sz w:val="12"/>
                <w:szCs w:val="12"/>
                <w:color w:val="auto"/>
              </w:rPr>
            </w:pPr>
          </w:p>
        </w:tc>
        <w:tc>
          <w:tcPr>
            <w:tcW w:w="820" w:type="dxa"/>
            <w:vAlign w:val="bottom"/>
            <w:gridSpan w:val="2"/>
          </w:tcPr>
          <w:p>
            <w:pPr>
              <w:jc w:val="center"/>
              <w:ind w:right="320"/>
              <w:spacing w:after="0"/>
              <w:rPr>
                <w:sz w:val="20"/>
                <w:szCs w:val="20"/>
                <w:color w:val="auto"/>
              </w:rPr>
            </w:pPr>
            <w:r>
              <w:rPr>
                <w:rFonts w:ascii="Times New Roman" w:cs="Times New Roman" w:eastAsia="Times New Roman" w:hAnsi="Times New Roman"/>
                <w:sz w:val="11"/>
                <w:szCs w:val="11"/>
                <w:b w:val="1"/>
                <w:bCs w:val="1"/>
                <w:color w:val="auto"/>
                <w:w w:val="94"/>
              </w:rPr>
              <w:t>Equity</w:t>
            </w:r>
          </w:p>
        </w:tc>
        <w:tc>
          <w:tcPr>
            <w:tcW w:w="140" w:type="dxa"/>
            <w:vAlign w:val="bottom"/>
          </w:tcPr>
          <w:p>
            <w:pPr>
              <w:spacing w:after="0"/>
              <w:rPr>
                <w:sz w:val="12"/>
                <w:szCs w:val="12"/>
                <w:color w:val="auto"/>
              </w:rPr>
            </w:pPr>
          </w:p>
        </w:tc>
        <w:tc>
          <w:tcPr>
            <w:tcW w:w="820" w:type="dxa"/>
            <w:vAlign w:val="bottom"/>
            <w:gridSpan w:val="2"/>
          </w:tcPr>
          <w:p>
            <w:pPr>
              <w:jc w:val="right"/>
              <w:ind w:right="380"/>
              <w:spacing w:after="0"/>
              <w:rPr>
                <w:sz w:val="20"/>
                <w:szCs w:val="20"/>
                <w:color w:val="auto"/>
              </w:rPr>
            </w:pPr>
            <w:r>
              <w:rPr>
                <w:rFonts w:ascii="Times New Roman" w:cs="Times New Roman" w:eastAsia="Times New Roman" w:hAnsi="Times New Roman"/>
                <w:sz w:val="11"/>
                <w:szCs w:val="11"/>
                <w:b w:val="1"/>
                <w:bCs w:val="1"/>
                <w:color w:val="auto"/>
              </w:rPr>
              <w:t>Interests</w:t>
            </w:r>
          </w:p>
        </w:tc>
        <w:tc>
          <w:tcPr>
            <w:tcW w:w="140" w:type="dxa"/>
            <w:vAlign w:val="bottom"/>
          </w:tcPr>
          <w:p>
            <w:pPr>
              <w:spacing w:after="0"/>
              <w:rPr>
                <w:sz w:val="12"/>
                <w:szCs w:val="12"/>
                <w:color w:val="auto"/>
              </w:rPr>
            </w:pPr>
          </w:p>
        </w:tc>
        <w:tc>
          <w:tcPr>
            <w:tcW w:w="700" w:type="dxa"/>
            <w:vAlign w:val="bottom"/>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rPr>
              <w:t>Equity</w:t>
            </w:r>
          </w:p>
        </w:tc>
      </w:tr>
      <w:tr>
        <w:trPr>
          <w:trHeight w:val="229"/>
        </w:trPr>
        <w:tc>
          <w:tcPr>
            <w:tcW w:w="3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at December 31, 2023</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394</w:t>
            </w:r>
          </w:p>
        </w:tc>
        <w:tc>
          <w:tcPr>
            <w:tcW w:w="2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2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8,812</w:t>
            </w: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(1,493</w:t>
            </w:r>
          </w:p>
        </w:tc>
        <w:tc>
          <w:tcPr>
            <w:tcW w:w="2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(1,155</w:t>
            </w:r>
          </w:p>
        </w:tc>
        <w:tc>
          <w:tcPr>
            <w:tcW w:w="2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6,168</w:t>
            </w:r>
          </w:p>
        </w:tc>
        <w:tc>
          <w:tcPr>
            <w:tcW w:w="200" w:type="dxa"/>
            <w:vAlign w:val="bottom"/>
          </w:tcPr>
          <w:p>
            <w:pPr>
              <w:spacing w:after="0"/>
              <w:rPr>
                <w:sz w:val="19"/>
                <w:szCs w:val="19"/>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6,242</w:t>
            </w:r>
          </w:p>
        </w:tc>
        <w:tc>
          <w:tcPr>
            <w:tcW w:w="100" w:type="dxa"/>
            <w:vAlign w:val="bottom"/>
          </w:tcPr>
          <w:p>
            <w:pPr>
              <w:spacing w:after="0"/>
              <w:rPr>
                <w:sz w:val="19"/>
                <w:szCs w:val="19"/>
                <w:color w:val="auto"/>
              </w:rPr>
            </w:pPr>
          </w:p>
        </w:tc>
      </w:tr>
      <w:tr>
        <w:trPr>
          <w:trHeight w:val="20"/>
        </w:trPr>
        <w:tc>
          <w:tcPr>
            <w:tcW w:w="36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3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0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119</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119</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121</w:t>
            </w:r>
          </w:p>
        </w:tc>
        <w:tc>
          <w:tcPr>
            <w:tcW w:w="100" w:type="dxa"/>
            <w:vAlign w:val="bottom"/>
            <w:shd w:val="clear" w:color="auto" w:fill="CFF0FC"/>
          </w:tcPr>
          <w:p>
            <w:pPr>
              <w:spacing w:after="0"/>
              <w:rPr>
                <w:sz w:val="18"/>
                <w:szCs w:val="18"/>
                <w:color w:val="auto"/>
              </w:rPr>
            </w:pPr>
          </w:p>
        </w:tc>
      </w:tr>
      <w:tr>
        <w:trPr>
          <w:trHeight w:val="220"/>
        </w:trPr>
        <w:tc>
          <w:tcPr>
            <w:tcW w:w="3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loss</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78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(27 )</w:t>
            </w:r>
          </w:p>
        </w:tc>
        <w:tc>
          <w:tcPr>
            <w:tcW w:w="120" w:type="dxa"/>
            <w:vAlign w:val="bottom"/>
          </w:tcPr>
          <w:p>
            <w:pPr>
              <w:spacing w:after="0"/>
              <w:rPr>
                <w:sz w:val="19"/>
                <w:szCs w:val="19"/>
                <w:color w:val="auto"/>
              </w:rPr>
            </w:pPr>
          </w:p>
        </w:tc>
        <w:tc>
          <w:tcPr>
            <w:tcW w:w="82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(27 )</w:t>
            </w:r>
          </w:p>
        </w:tc>
        <w:tc>
          <w:tcPr>
            <w:tcW w:w="140" w:type="dxa"/>
            <w:vAlign w:val="bottom"/>
          </w:tcPr>
          <w:p>
            <w:pPr>
              <w:spacing w:after="0"/>
              <w:rPr>
                <w:sz w:val="19"/>
                <w:szCs w:val="19"/>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(27 )</w:t>
            </w:r>
          </w:p>
        </w:tc>
      </w:tr>
      <w:tr>
        <w:trPr>
          <w:trHeight w:val="239"/>
        </w:trPr>
        <w:tc>
          <w:tcPr>
            <w:tcW w:w="3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Cash dividends, $0.05 per common share</w:t>
            </w:r>
          </w:p>
        </w:tc>
        <w:tc>
          <w:tcPr>
            <w:tcW w:w="10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20"/>
                <w:szCs w:val="20"/>
                <w:color w:val="auto"/>
              </w:rPr>
            </w:pPr>
          </w:p>
        </w:tc>
        <w:tc>
          <w:tcPr>
            <w:tcW w:w="780" w:type="dxa"/>
            <w:vAlign w:val="bottom"/>
            <w:gridSpan w:val="2"/>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20"/>
                <w:szCs w:val="20"/>
                <w:color w:val="auto"/>
              </w:rPr>
            </w:pPr>
          </w:p>
        </w:tc>
        <w:tc>
          <w:tcPr>
            <w:tcW w:w="820" w:type="dxa"/>
            <w:vAlign w:val="bottom"/>
            <w:gridSpan w:val="2"/>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(20 )</w:t>
            </w:r>
          </w:p>
        </w:tc>
        <w:tc>
          <w:tcPr>
            <w:tcW w:w="120" w:type="dxa"/>
            <w:vAlign w:val="bottom"/>
            <w:shd w:val="clear" w:color="auto" w:fill="CFF0FC"/>
          </w:tcPr>
          <w:p>
            <w:pPr>
              <w:spacing w:after="0"/>
              <w:rPr>
                <w:sz w:val="20"/>
                <w:szCs w:val="20"/>
                <w:color w:val="auto"/>
              </w:rPr>
            </w:pPr>
          </w:p>
        </w:tc>
        <w:tc>
          <w:tcPr>
            <w:tcW w:w="8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(20 )</w:t>
            </w:r>
          </w:p>
        </w:tc>
        <w:tc>
          <w:tcPr>
            <w:tcW w:w="140" w:type="dxa"/>
            <w:vAlign w:val="bottom"/>
            <w:shd w:val="clear" w:color="auto" w:fill="CFF0FC"/>
          </w:tcPr>
          <w:p>
            <w:pPr>
              <w:spacing w:after="0"/>
              <w:rPr>
                <w:sz w:val="20"/>
                <w:szCs w:val="20"/>
                <w:color w:val="auto"/>
              </w:rPr>
            </w:pPr>
          </w:p>
        </w:tc>
        <w:tc>
          <w:tcPr>
            <w:tcW w:w="8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20"/>
                <w:szCs w:val="20"/>
                <w:color w:val="auto"/>
              </w:rPr>
            </w:pPr>
          </w:p>
        </w:tc>
        <w:tc>
          <w:tcPr>
            <w:tcW w:w="7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(20 )</w:t>
            </w:r>
          </w:p>
        </w:tc>
      </w:tr>
      <w:tr>
        <w:trPr>
          <w:trHeight w:val="220"/>
        </w:trPr>
        <w:tc>
          <w:tcPr>
            <w:tcW w:w="3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Transactions with non-controlling interests</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82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(1 )</w:t>
            </w:r>
          </w:p>
        </w:tc>
        <w:tc>
          <w:tcPr>
            <w:tcW w:w="140" w:type="dxa"/>
            <w:vAlign w:val="bottom"/>
          </w:tcPr>
          <w:p>
            <w:pPr>
              <w:spacing w:after="0"/>
              <w:rPr>
                <w:sz w:val="19"/>
                <w:szCs w:val="19"/>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39"/>
        </w:trPr>
        <w:tc>
          <w:tcPr>
            <w:tcW w:w="3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10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2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780" w:type="dxa"/>
            <w:vAlign w:val="bottom"/>
            <w:gridSpan w:val="2"/>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20"/>
                <w:szCs w:val="20"/>
                <w:color w:val="auto"/>
              </w:rPr>
            </w:pPr>
          </w:p>
        </w:tc>
        <w:tc>
          <w:tcPr>
            <w:tcW w:w="820" w:type="dxa"/>
            <w:vAlign w:val="bottom"/>
            <w:gridSpan w:val="2"/>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2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20"/>
                <w:szCs w:val="20"/>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shd w:val="clear" w:color="auto" w:fill="CFF0FC"/>
          </w:tcPr>
          <w:p>
            <w:pPr>
              <w:spacing w:after="0"/>
              <w:rPr>
                <w:sz w:val="20"/>
                <w:szCs w:val="20"/>
                <w:color w:val="auto"/>
              </w:rPr>
            </w:pPr>
          </w:p>
        </w:tc>
      </w:tr>
      <w:tr>
        <w:trPr>
          <w:trHeight w:val="220"/>
        </w:trPr>
        <w:tc>
          <w:tcPr>
            <w:tcW w:w="3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Common stock issued</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78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82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39"/>
        </w:trPr>
        <w:tc>
          <w:tcPr>
            <w:tcW w:w="3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Withholding taxes</w:t>
            </w:r>
          </w:p>
        </w:tc>
        <w:tc>
          <w:tcPr>
            <w:tcW w:w="10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(1 )</w:t>
            </w:r>
          </w:p>
        </w:tc>
        <w:tc>
          <w:tcPr>
            <w:tcW w:w="14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(15 )</w:t>
            </w:r>
          </w:p>
        </w:tc>
        <w:tc>
          <w:tcPr>
            <w:tcW w:w="160" w:type="dxa"/>
            <w:vAlign w:val="bottom"/>
            <w:shd w:val="clear" w:color="auto" w:fill="CFF0FC"/>
          </w:tcPr>
          <w:p>
            <w:pPr>
              <w:spacing w:after="0"/>
              <w:rPr>
                <w:sz w:val="20"/>
                <w:szCs w:val="20"/>
                <w:color w:val="auto"/>
              </w:rPr>
            </w:pPr>
          </w:p>
        </w:tc>
        <w:tc>
          <w:tcPr>
            <w:tcW w:w="780" w:type="dxa"/>
            <w:vAlign w:val="bottom"/>
            <w:gridSpan w:val="2"/>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20"/>
                <w:szCs w:val="20"/>
                <w:color w:val="auto"/>
              </w:rPr>
            </w:pPr>
          </w:p>
        </w:tc>
        <w:tc>
          <w:tcPr>
            <w:tcW w:w="820" w:type="dxa"/>
            <w:vAlign w:val="bottom"/>
            <w:gridSpan w:val="2"/>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20"/>
                <w:szCs w:val="20"/>
                <w:color w:val="auto"/>
              </w:rPr>
            </w:pPr>
          </w:p>
        </w:tc>
        <w:tc>
          <w:tcPr>
            <w:tcW w:w="8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(15 )</w:t>
            </w:r>
          </w:p>
        </w:tc>
        <w:tc>
          <w:tcPr>
            <w:tcW w:w="140" w:type="dxa"/>
            <w:vAlign w:val="bottom"/>
            <w:shd w:val="clear" w:color="auto" w:fill="CFF0FC"/>
          </w:tcPr>
          <w:p>
            <w:pPr>
              <w:spacing w:after="0"/>
              <w:rPr>
                <w:sz w:val="20"/>
                <w:szCs w:val="20"/>
                <w:color w:val="auto"/>
              </w:rPr>
            </w:pPr>
          </w:p>
        </w:tc>
        <w:tc>
          <w:tcPr>
            <w:tcW w:w="8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20"/>
                <w:szCs w:val="20"/>
                <w:color w:val="auto"/>
              </w:rPr>
            </w:pPr>
          </w:p>
        </w:tc>
        <w:tc>
          <w:tcPr>
            <w:tcW w:w="7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(15 )</w:t>
            </w:r>
          </w:p>
        </w:tc>
      </w:tr>
      <w:tr>
        <w:trPr>
          <w:trHeight w:val="226"/>
        </w:trPr>
        <w:tc>
          <w:tcPr>
            <w:tcW w:w="3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9"/>
                <w:szCs w:val="19"/>
                <w:color w:val="auto"/>
              </w:rPr>
            </w:pPr>
          </w:p>
        </w:tc>
      </w:tr>
      <w:tr>
        <w:trPr>
          <w:trHeight w:val="246"/>
        </w:trPr>
        <w:tc>
          <w:tcPr>
            <w:tcW w:w="3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Balance at March 31, 2024</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396</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8,818</w:t>
            </w:r>
          </w:p>
        </w:tc>
        <w:tc>
          <w:tcPr>
            <w:tcW w:w="220" w:type="dxa"/>
            <w:vAlign w:val="bottom"/>
            <w:shd w:val="clear" w:color="auto" w:fill="CFF0FC"/>
          </w:tcPr>
          <w:p>
            <w:pPr>
              <w:spacing w:after="0"/>
              <w:rPr>
                <w:sz w:val="21"/>
                <w:szCs w:val="21"/>
                <w:color w:val="auto"/>
              </w:rPr>
            </w:pPr>
          </w:p>
        </w:tc>
        <w:tc>
          <w:tcPr>
            <w:tcW w:w="1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gridSpan w:val="2"/>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(1,520 )</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gridSpan w:val="2"/>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(1,056 )</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6,246</w:t>
            </w:r>
          </w:p>
        </w:tc>
        <w:tc>
          <w:tcPr>
            <w:tcW w:w="200" w:type="dxa"/>
            <w:vAlign w:val="bottom"/>
            <w:shd w:val="clear" w:color="auto" w:fill="CFF0FC"/>
          </w:tcPr>
          <w:p>
            <w:pPr>
              <w:spacing w:after="0"/>
              <w:rPr>
                <w:sz w:val="21"/>
                <w:szCs w:val="21"/>
                <w:color w:val="auto"/>
              </w:rPr>
            </w:pPr>
          </w:p>
        </w:tc>
        <w:tc>
          <w:tcPr>
            <w:tcW w:w="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6,321</w:t>
            </w:r>
          </w:p>
        </w:tc>
        <w:tc>
          <w:tcPr>
            <w:tcW w:w="100" w:type="dxa"/>
            <w:vAlign w:val="bottom"/>
            <w:shd w:val="clear" w:color="auto" w:fill="CFF0FC"/>
          </w:tcPr>
          <w:p>
            <w:pPr>
              <w:spacing w:after="0"/>
              <w:rPr>
                <w:sz w:val="21"/>
                <w:szCs w:val="21"/>
                <w:color w:val="auto"/>
              </w:rPr>
            </w:pPr>
          </w:p>
        </w:tc>
      </w:tr>
      <w:tr>
        <w:trPr>
          <w:trHeight w:val="20"/>
        </w:trPr>
        <w:tc>
          <w:tcPr>
            <w:tcW w:w="3600" w:type="dxa"/>
            <w:vAlign w:val="bottom"/>
            <w:tcBorders>
              <w:top w:val="single" w:sz="8" w:color="CFF0FC"/>
            </w:tcBorders>
            <w:shd w:val="clear" w:color="auto" w:fill="CFF0FC"/>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200"/>
        </w:trPr>
        <w:tc>
          <w:tcPr>
            <w:tcW w:w="3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226</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226</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(3 )</w:t>
            </w:r>
          </w:p>
        </w:tc>
        <w:tc>
          <w:tcPr>
            <w:tcW w:w="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223</w:t>
            </w:r>
          </w:p>
        </w:tc>
        <w:tc>
          <w:tcPr>
            <w:tcW w:w="100" w:type="dxa"/>
            <w:vAlign w:val="bottom"/>
          </w:tcPr>
          <w:p>
            <w:pPr>
              <w:spacing w:after="0"/>
              <w:rPr>
                <w:sz w:val="17"/>
                <w:szCs w:val="17"/>
                <w:color w:val="auto"/>
              </w:rPr>
            </w:pPr>
          </w:p>
        </w:tc>
      </w:tr>
      <w:tr>
        <w:trPr>
          <w:trHeight w:val="239"/>
        </w:trPr>
        <w:tc>
          <w:tcPr>
            <w:tcW w:w="3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Other comprehensive loss</w:t>
            </w:r>
          </w:p>
        </w:tc>
        <w:tc>
          <w:tcPr>
            <w:tcW w:w="10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20"/>
                <w:szCs w:val="20"/>
                <w:color w:val="auto"/>
              </w:rPr>
            </w:pPr>
          </w:p>
        </w:tc>
        <w:tc>
          <w:tcPr>
            <w:tcW w:w="780" w:type="dxa"/>
            <w:vAlign w:val="bottom"/>
            <w:gridSpan w:val="2"/>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(29 )</w:t>
            </w:r>
          </w:p>
        </w:tc>
        <w:tc>
          <w:tcPr>
            <w:tcW w:w="120" w:type="dxa"/>
            <w:vAlign w:val="bottom"/>
            <w:shd w:val="clear" w:color="auto" w:fill="CFF0FC"/>
          </w:tcPr>
          <w:p>
            <w:pPr>
              <w:spacing w:after="0"/>
              <w:rPr>
                <w:sz w:val="20"/>
                <w:szCs w:val="20"/>
                <w:color w:val="auto"/>
              </w:rPr>
            </w:pPr>
          </w:p>
        </w:tc>
        <w:tc>
          <w:tcPr>
            <w:tcW w:w="820" w:type="dxa"/>
            <w:vAlign w:val="bottom"/>
            <w:gridSpan w:val="2"/>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20"/>
                <w:szCs w:val="20"/>
                <w:color w:val="auto"/>
              </w:rPr>
            </w:pPr>
          </w:p>
        </w:tc>
        <w:tc>
          <w:tcPr>
            <w:tcW w:w="8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(29 )</w:t>
            </w:r>
          </w:p>
        </w:tc>
        <w:tc>
          <w:tcPr>
            <w:tcW w:w="140" w:type="dxa"/>
            <w:vAlign w:val="bottom"/>
            <w:shd w:val="clear" w:color="auto" w:fill="CFF0FC"/>
          </w:tcPr>
          <w:p>
            <w:pPr>
              <w:spacing w:after="0"/>
              <w:rPr>
                <w:sz w:val="20"/>
                <w:szCs w:val="20"/>
                <w:color w:val="auto"/>
              </w:rPr>
            </w:pPr>
          </w:p>
        </w:tc>
        <w:tc>
          <w:tcPr>
            <w:tcW w:w="8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20"/>
                <w:szCs w:val="20"/>
                <w:color w:val="auto"/>
              </w:rPr>
            </w:pPr>
          </w:p>
        </w:tc>
        <w:tc>
          <w:tcPr>
            <w:tcW w:w="7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(29 )</w:t>
            </w:r>
          </w:p>
        </w:tc>
      </w:tr>
      <w:tr>
        <w:trPr>
          <w:trHeight w:val="220"/>
        </w:trPr>
        <w:tc>
          <w:tcPr>
            <w:tcW w:w="3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dividends, $0.075 per common share</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78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82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(30 )</w:t>
            </w:r>
          </w:p>
        </w:tc>
        <w:tc>
          <w:tcPr>
            <w:tcW w:w="120" w:type="dxa"/>
            <w:vAlign w:val="bottom"/>
          </w:tcPr>
          <w:p>
            <w:pPr>
              <w:spacing w:after="0"/>
              <w:rPr>
                <w:sz w:val="19"/>
                <w:szCs w:val="19"/>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(30 )</w:t>
            </w:r>
          </w:p>
        </w:tc>
        <w:tc>
          <w:tcPr>
            <w:tcW w:w="140" w:type="dxa"/>
            <w:vAlign w:val="bottom"/>
          </w:tcPr>
          <w:p>
            <w:pPr>
              <w:spacing w:after="0"/>
              <w:rPr>
                <w:sz w:val="19"/>
                <w:szCs w:val="19"/>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(30 )</w:t>
            </w:r>
          </w:p>
        </w:tc>
      </w:tr>
      <w:tr>
        <w:trPr>
          <w:trHeight w:val="239"/>
        </w:trPr>
        <w:tc>
          <w:tcPr>
            <w:tcW w:w="3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Transactions with non-controlling interests</w:t>
            </w:r>
          </w:p>
        </w:tc>
        <w:tc>
          <w:tcPr>
            <w:tcW w:w="10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(17 )</w:t>
            </w:r>
          </w:p>
        </w:tc>
        <w:tc>
          <w:tcPr>
            <w:tcW w:w="160" w:type="dxa"/>
            <w:vAlign w:val="bottom"/>
            <w:shd w:val="clear" w:color="auto" w:fill="CFF0FC"/>
          </w:tcPr>
          <w:p>
            <w:pPr>
              <w:spacing w:after="0"/>
              <w:rPr>
                <w:sz w:val="20"/>
                <w:szCs w:val="20"/>
                <w:color w:val="auto"/>
              </w:rPr>
            </w:pPr>
          </w:p>
        </w:tc>
        <w:tc>
          <w:tcPr>
            <w:tcW w:w="780" w:type="dxa"/>
            <w:vAlign w:val="bottom"/>
            <w:gridSpan w:val="2"/>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20"/>
                <w:szCs w:val="20"/>
                <w:color w:val="auto"/>
              </w:rPr>
            </w:pPr>
          </w:p>
        </w:tc>
        <w:tc>
          <w:tcPr>
            <w:tcW w:w="820" w:type="dxa"/>
            <w:vAlign w:val="bottom"/>
            <w:gridSpan w:val="2"/>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20"/>
                <w:szCs w:val="20"/>
                <w:color w:val="auto"/>
              </w:rPr>
            </w:pPr>
          </w:p>
        </w:tc>
        <w:tc>
          <w:tcPr>
            <w:tcW w:w="8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(17 )</w:t>
            </w:r>
          </w:p>
        </w:tc>
        <w:tc>
          <w:tcPr>
            <w:tcW w:w="140" w:type="dxa"/>
            <w:vAlign w:val="bottom"/>
            <w:shd w:val="clear" w:color="auto" w:fill="CFF0FC"/>
          </w:tcPr>
          <w:p>
            <w:pPr>
              <w:spacing w:after="0"/>
              <w:rPr>
                <w:sz w:val="20"/>
                <w:szCs w:val="20"/>
                <w:color w:val="auto"/>
              </w:rPr>
            </w:pPr>
          </w:p>
        </w:tc>
        <w:tc>
          <w:tcPr>
            <w:tcW w:w="8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(19 )</w:t>
            </w:r>
          </w:p>
        </w:tc>
        <w:tc>
          <w:tcPr>
            <w:tcW w:w="140" w:type="dxa"/>
            <w:vAlign w:val="bottom"/>
            <w:shd w:val="clear" w:color="auto" w:fill="CFF0FC"/>
          </w:tcPr>
          <w:p>
            <w:pPr>
              <w:spacing w:after="0"/>
              <w:rPr>
                <w:sz w:val="20"/>
                <w:szCs w:val="20"/>
                <w:color w:val="auto"/>
              </w:rPr>
            </w:pPr>
          </w:p>
        </w:tc>
        <w:tc>
          <w:tcPr>
            <w:tcW w:w="7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(36 )</w:t>
            </w:r>
          </w:p>
        </w:tc>
      </w:tr>
      <w:tr>
        <w:trPr>
          <w:trHeight w:val="220"/>
        </w:trPr>
        <w:tc>
          <w:tcPr>
            <w:tcW w:w="3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82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tcPr>
          <w:p>
            <w:pPr>
              <w:spacing w:after="0"/>
              <w:rPr>
                <w:sz w:val="19"/>
                <w:szCs w:val="19"/>
                <w:color w:val="auto"/>
              </w:rPr>
            </w:pPr>
          </w:p>
        </w:tc>
      </w:tr>
      <w:tr>
        <w:trPr>
          <w:trHeight w:val="239"/>
        </w:trPr>
        <w:tc>
          <w:tcPr>
            <w:tcW w:w="3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Share repurchases</w:t>
            </w:r>
          </w:p>
        </w:tc>
        <w:tc>
          <w:tcPr>
            <w:tcW w:w="10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(2 )</w:t>
            </w:r>
          </w:p>
        </w:tc>
        <w:tc>
          <w:tcPr>
            <w:tcW w:w="14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(37 )</w:t>
            </w:r>
          </w:p>
        </w:tc>
        <w:tc>
          <w:tcPr>
            <w:tcW w:w="160" w:type="dxa"/>
            <w:vAlign w:val="bottom"/>
            <w:shd w:val="clear" w:color="auto" w:fill="CFF0FC"/>
          </w:tcPr>
          <w:p>
            <w:pPr>
              <w:spacing w:after="0"/>
              <w:rPr>
                <w:sz w:val="20"/>
                <w:szCs w:val="20"/>
                <w:color w:val="auto"/>
              </w:rPr>
            </w:pPr>
          </w:p>
        </w:tc>
        <w:tc>
          <w:tcPr>
            <w:tcW w:w="780" w:type="dxa"/>
            <w:vAlign w:val="bottom"/>
            <w:gridSpan w:val="2"/>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20"/>
                <w:szCs w:val="20"/>
                <w:color w:val="auto"/>
              </w:rPr>
            </w:pPr>
          </w:p>
        </w:tc>
        <w:tc>
          <w:tcPr>
            <w:tcW w:w="820" w:type="dxa"/>
            <w:vAlign w:val="bottom"/>
            <w:gridSpan w:val="2"/>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20"/>
                <w:szCs w:val="20"/>
                <w:color w:val="auto"/>
              </w:rPr>
            </w:pPr>
          </w:p>
        </w:tc>
        <w:tc>
          <w:tcPr>
            <w:tcW w:w="8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(37 )</w:t>
            </w:r>
          </w:p>
        </w:tc>
        <w:tc>
          <w:tcPr>
            <w:tcW w:w="140" w:type="dxa"/>
            <w:vAlign w:val="bottom"/>
            <w:shd w:val="clear" w:color="auto" w:fill="CFF0FC"/>
          </w:tcPr>
          <w:p>
            <w:pPr>
              <w:spacing w:after="0"/>
              <w:rPr>
                <w:sz w:val="20"/>
                <w:szCs w:val="20"/>
                <w:color w:val="auto"/>
              </w:rPr>
            </w:pPr>
          </w:p>
        </w:tc>
        <w:tc>
          <w:tcPr>
            <w:tcW w:w="8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20"/>
                <w:szCs w:val="20"/>
                <w:color w:val="auto"/>
              </w:rPr>
            </w:pPr>
          </w:p>
        </w:tc>
        <w:tc>
          <w:tcPr>
            <w:tcW w:w="7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(37 )</w:t>
            </w:r>
          </w:p>
        </w:tc>
      </w:tr>
      <w:tr>
        <w:trPr>
          <w:trHeight w:val="226"/>
        </w:trPr>
        <w:tc>
          <w:tcPr>
            <w:tcW w:w="3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2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9"/>
                <w:szCs w:val="19"/>
                <w:color w:val="auto"/>
              </w:rPr>
            </w:pPr>
          </w:p>
        </w:tc>
      </w:tr>
      <w:tr>
        <w:trPr>
          <w:trHeight w:val="266"/>
        </w:trPr>
        <w:tc>
          <w:tcPr>
            <w:tcW w:w="3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Balance at June 30, 2024</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394</w:t>
            </w:r>
          </w:p>
        </w:tc>
        <w:tc>
          <w:tcPr>
            <w:tcW w:w="240" w:type="dxa"/>
            <w:vAlign w:val="bottom"/>
            <w:shd w:val="clear" w:color="auto" w:fill="CFF0FC"/>
          </w:tcPr>
          <w:p>
            <w:pPr>
              <w:spacing w:after="0"/>
              <w:rPr>
                <w:sz w:val="23"/>
                <w:szCs w:val="23"/>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240" w:type="dxa"/>
            <w:vAlign w:val="bottom"/>
            <w:shd w:val="clear" w:color="auto" w:fill="CFF0FC"/>
          </w:tcPr>
          <w:p>
            <w:pPr>
              <w:spacing w:after="0"/>
              <w:rPr>
                <w:sz w:val="23"/>
                <w:szCs w:val="23"/>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8,784</w:t>
            </w:r>
          </w:p>
        </w:tc>
        <w:tc>
          <w:tcPr>
            <w:tcW w:w="220" w:type="dxa"/>
            <w:vAlign w:val="bottom"/>
            <w:shd w:val="clear" w:color="auto" w:fill="CFF0FC"/>
          </w:tcPr>
          <w:p>
            <w:pPr>
              <w:spacing w:after="0"/>
              <w:rPr>
                <w:sz w:val="23"/>
                <w:szCs w:val="23"/>
                <w:color w:val="auto"/>
              </w:rPr>
            </w:pPr>
          </w:p>
        </w:tc>
        <w:tc>
          <w:tcPr>
            <w:tcW w:w="1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gridSpan w:val="2"/>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(1,549 )</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gridSpan w:val="2"/>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(860 )</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6,379</w:t>
            </w:r>
          </w:p>
        </w:tc>
        <w:tc>
          <w:tcPr>
            <w:tcW w:w="200" w:type="dxa"/>
            <w:vAlign w:val="bottom"/>
            <w:shd w:val="clear" w:color="auto" w:fill="CFF0FC"/>
          </w:tcPr>
          <w:p>
            <w:pPr>
              <w:spacing w:after="0"/>
              <w:rPr>
                <w:sz w:val="23"/>
                <w:szCs w:val="23"/>
                <w:color w:val="auto"/>
              </w:rPr>
            </w:pPr>
          </w:p>
        </w:tc>
        <w:tc>
          <w:tcPr>
            <w:tcW w:w="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220" w:type="dxa"/>
            <w:vAlign w:val="bottom"/>
            <w:shd w:val="clear" w:color="auto" w:fill="CFF0FC"/>
          </w:tcPr>
          <w:p>
            <w:pPr>
              <w:spacing w:after="0"/>
              <w:rPr>
                <w:sz w:val="23"/>
                <w:szCs w:val="23"/>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6,432</w:t>
            </w:r>
          </w:p>
        </w:tc>
        <w:tc>
          <w:tcPr>
            <w:tcW w:w="100" w:type="dxa"/>
            <w:vAlign w:val="bottom"/>
            <w:shd w:val="clear" w:color="auto" w:fill="CFF0FC"/>
          </w:tcPr>
          <w:p>
            <w:pPr>
              <w:spacing w:after="0"/>
              <w:rPr>
                <w:sz w:val="23"/>
                <w:szCs w:val="23"/>
                <w:color w:val="auto"/>
              </w:rPr>
            </w:pPr>
          </w:p>
        </w:tc>
      </w:tr>
      <w:tr>
        <w:trPr>
          <w:trHeight w:val="342"/>
        </w:trPr>
        <w:tc>
          <w:tcPr>
            <w:tcW w:w="3600" w:type="dxa"/>
            <w:vAlign w:val="bottom"/>
            <w:tcBorders>
              <w:top w:val="single" w:sz="8" w:color="CFF0FC"/>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72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w w:val="96"/>
              </w:rPr>
              <w:t>Accumulated</w:t>
            </w:r>
          </w:p>
        </w:tc>
        <w:tc>
          <w:tcPr>
            <w:tcW w:w="22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200" w:type="dxa"/>
            <w:vAlign w:val="bottom"/>
            <w:tcBorders>
              <w:top w:val="single" w:sz="8" w:color="CFF0FC"/>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121"/>
        </w:trPr>
        <w:tc>
          <w:tcPr>
            <w:tcW w:w="36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gridSpan w:val="2"/>
          </w:tcPr>
          <w:p>
            <w:pPr>
              <w:jc w:val="center"/>
              <w:ind w:right="299"/>
              <w:spacing w:after="0" w:line="122" w:lineRule="exact"/>
              <w:rPr>
                <w:sz w:val="20"/>
                <w:szCs w:val="20"/>
                <w:color w:val="auto"/>
              </w:rPr>
            </w:pPr>
            <w:r>
              <w:rPr>
                <w:rFonts w:ascii="Times New Roman" w:cs="Times New Roman" w:eastAsia="Times New Roman" w:hAnsi="Times New Roman"/>
                <w:sz w:val="11"/>
                <w:szCs w:val="11"/>
                <w:b w:val="1"/>
                <w:bCs w:val="1"/>
                <w:color w:val="auto"/>
                <w:w w:val="99"/>
              </w:rPr>
              <w:t>Other</w:t>
            </w: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gridSpan w:val="2"/>
          </w:tcPr>
          <w:p>
            <w:pPr>
              <w:jc w:val="center"/>
              <w:ind w:right="340"/>
              <w:spacing w:after="0" w:line="122" w:lineRule="exact"/>
              <w:rPr>
                <w:sz w:val="20"/>
                <w:szCs w:val="20"/>
                <w:color w:val="auto"/>
              </w:rPr>
            </w:pPr>
            <w:r>
              <w:rPr>
                <w:rFonts w:ascii="Times New Roman" w:cs="Times New Roman" w:eastAsia="Times New Roman" w:hAnsi="Times New Roman"/>
                <w:sz w:val="11"/>
                <w:szCs w:val="11"/>
                <w:b w:val="1"/>
                <w:bCs w:val="1"/>
                <w:color w:val="auto"/>
                <w:w w:val="95"/>
              </w:rPr>
              <w:t>Total</w:t>
            </w: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21"/>
        </w:trPr>
        <w:tc>
          <w:tcPr>
            <w:tcW w:w="3600" w:type="dxa"/>
            <w:vAlign w:val="bottom"/>
          </w:tcPr>
          <w:p>
            <w:pPr>
              <w:spacing w:after="0"/>
              <w:rPr>
                <w:sz w:val="10"/>
                <w:szCs w:val="10"/>
                <w:color w:val="auto"/>
              </w:rPr>
            </w:pPr>
          </w:p>
        </w:tc>
        <w:tc>
          <w:tcPr>
            <w:tcW w:w="1040" w:type="dxa"/>
            <w:vAlign w:val="bottom"/>
            <w:gridSpan w:val="2"/>
          </w:tcPr>
          <w:p>
            <w:pPr>
              <w:jc w:val="center"/>
              <w:ind w:right="240"/>
              <w:spacing w:after="0" w:line="122" w:lineRule="exact"/>
              <w:rPr>
                <w:sz w:val="20"/>
                <w:szCs w:val="20"/>
                <w:color w:val="auto"/>
              </w:rPr>
            </w:pPr>
            <w:r>
              <w:rPr>
                <w:rFonts w:ascii="Times New Roman" w:cs="Times New Roman" w:eastAsia="Times New Roman" w:hAnsi="Times New Roman"/>
                <w:sz w:val="11"/>
                <w:szCs w:val="11"/>
                <w:b w:val="1"/>
                <w:bCs w:val="1"/>
                <w:color w:val="auto"/>
                <w:w w:val="99"/>
              </w:rPr>
              <w:t>Shares Issued</w:t>
            </w: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gridSpan w:val="2"/>
          </w:tcPr>
          <w:p>
            <w:pPr>
              <w:jc w:val="center"/>
              <w:ind w:right="340"/>
              <w:spacing w:after="0" w:line="122" w:lineRule="exact"/>
              <w:rPr>
                <w:sz w:val="20"/>
                <w:szCs w:val="20"/>
                <w:color w:val="auto"/>
              </w:rPr>
            </w:pPr>
            <w:r>
              <w:rPr>
                <w:rFonts w:ascii="Times New Roman" w:cs="Times New Roman" w:eastAsia="Times New Roman" w:hAnsi="Times New Roman"/>
                <w:sz w:val="11"/>
                <w:szCs w:val="11"/>
                <w:b w:val="1"/>
                <w:bCs w:val="1"/>
                <w:color w:val="auto"/>
                <w:w w:val="95"/>
              </w:rPr>
              <w:t>Additional</w:t>
            </w:r>
          </w:p>
        </w:tc>
        <w:tc>
          <w:tcPr>
            <w:tcW w:w="940" w:type="dxa"/>
            <w:vAlign w:val="bottom"/>
            <w:gridSpan w:val="3"/>
          </w:tcPr>
          <w:p>
            <w:pPr>
              <w:jc w:val="center"/>
              <w:ind w:right="139"/>
              <w:spacing w:after="0" w:line="122" w:lineRule="exact"/>
              <w:rPr>
                <w:sz w:val="20"/>
                <w:szCs w:val="20"/>
                <w:color w:val="auto"/>
              </w:rPr>
            </w:pPr>
            <w:r>
              <w:rPr>
                <w:rFonts w:ascii="Times New Roman" w:cs="Times New Roman" w:eastAsia="Times New Roman" w:hAnsi="Times New Roman"/>
                <w:sz w:val="11"/>
                <w:szCs w:val="11"/>
                <w:b w:val="1"/>
                <w:bCs w:val="1"/>
                <w:color w:val="auto"/>
                <w:w w:val="99"/>
              </w:rPr>
              <w:t>Comprehensiv</w:t>
            </w: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gridSpan w:val="2"/>
          </w:tcPr>
          <w:p>
            <w:pPr>
              <w:jc w:val="center"/>
              <w:ind w:right="320"/>
              <w:spacing w:after="0" w:line="122" w:lineRule="exact"/>
              <w:rPr>
                <w:sz w:val="20"/>
                <w:szCs w:val="20"/>
                <w:color w:val="auto"/>
              </w:rPr>
            </w:pPr>
            <w:r>
              <w:rPr>
                <w:rFonts w:ascii="Times New Roman" w:cs="Times New Roman" w:eastAsia="Times New Roman" w:hAnsi="Times New Roman"/>
                <w:sz w:val="11"/>
                <w:szCs w:val="11"/>
                <w:b w:val="1"/>
                <w:bCs w:val="1"/>
                <w:color w:val="auto"/>
              </w:rPr>
              <w:t>Company</w:t>
            </w: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gridSpan w:val="2"/>
          </w:tcPr>
          <w:p>
            <w:pPr>
              <w:jc w:val="center"/>
              <w:ind w:right="260"/>
              <w:spacing w:after="0" w:line="122" w:lineRule="exact"/>
              <w:rPr>
                <w:sz w:val="20"/>
                <w:szCs w:val="20"/>
                <w:color w:val="auto"/>
              </w:rPr>
            </w:pPr>
            <w:r>
              <w:rPr>
                <w:rFonts w:ascii="Times New Roman" w:cs="Times New Roman" w:eastAsia="Times New Roman" w:hAnsi="Times New Roman"/>
                <w:sz w:val="11"/>
                <w:szCs w:val="11"/>
                <w:b w:val="1"/>
                <w:bCs w:val="1"/>
                <w:color w:val="auto"/>
                <w:w w:val="95"/>
              </w:rPr>
              <w:t>Total</w:t>
            </w:r>
          </w:p>
        </w:tc>
      </w:tr>
      <w:tr>
        <w:trPr>
          <w:trHeight w:val="121"/>
        </w:trPr>
        <w:tc>
          <w:tcPr>
            <w:tcW w:w="3600" w:type="dxa"/>
            <w:vAlign w:val="bottom"/>
          </w:tcPr>
          <w:p>
            <w:pPr>
              <w:spacing w:after="0"/>
              <w:rPr>
                <w:sz w:val="10"/>
                <w:szCs w:val="10"/>
                <w:color w:val="auto"/>
              </w:rPr>
            </w:pPr>
          </w:p>
        </w:tc>
        <w:tc>
          <w:tcPr>
            <w:tcW w:w="1040" w:type="dxa"/>
            <w:vAlign w:val="bottom"/>
            <w:gridSpan w:val="2"/>
          </w:tcPr>
          <w:p>
            <w:pPr>
              <w:jc w:val="center"/>
              <w:ind w:right="240"/>
              <w:spacing w:after="0" w:line="122" w:lineRule="exact"/>
              <w:rPr>
                <w:sz w:val="20"/>
                <w:szCs w:val="20"/>
                <w:color w:val="auto"/>
              </w:rPr>
            </w:pPr>
            <w:r>
              <w:rPr>
                <w:rFonts w:ascii="Times New Roman" w:cs="Times New Roman" w:eastAsia="Times New Roman" w:hAnsi="Times New Roman"/>
                <w:sz w:val="11"/>
                <w:szCs w:val="11"/>
                <w:b w:val="1"/>
                <w:bCs w:val="1"/>
                <w:color w:val="auto"/>
                <w:w w:val="89"/>
              </w:rPr>
              <w:t>and</w:t>
            </w:r>
          </w:p>
        </w:tc>
        <w:tc>
          <w:tcPr>
            <w:tcW w:w="140" w:type="dxa"/>
            <w:vAlign w:val="bottom"/>
          </w:tcPr>
          <w:p>
            <w:pPr>
              <w:spacing w:after="0"/>
              <w:rPr>
                <w:sz w:val="10"/>
                <w:szCs w:val="10"/>
                <w:color w:val="auto"/>
              </w:rPr>
            </w:pPr>
          </w:p>
        </w:tc>
        <w:tc>
          <w:tcPr>
            <w:tcW w:w="620" w:type="dxa"/>
            <w:vAlign w:val="bottom"/>
          </w:tcPr>
          <w:p>
            <w:pPr>
              <w:jc w:val="center"/>
              <w:ind w:right="42"/>
              <w:spacing w:after="0" w:line="122" w:lineRule="exact"/>
              <w:rPr>
                <w:sz w:val="20"/>
                <w:szCs w:val="20"/>
                <w:color w:val="auto"/>
              </w:rPr>
            </w:pPr>
            <w:r>
              <w:rPr>
                <w:rFonts w:ascii="Times New Roman" w:cs="Times New Roman" w:eastAsia="Times New Roman" w:hAnsi="Times New Roman"/>
                <w:sz w:val="11"/>
                <w:szCs w:val="11"/>
                <w:b w:val="1"/>
                <w:bCs w:val="1"/>
                <w:color w:val="auto"/>
                <w:w w:val="96"/>
              </w:rPr>
              <w:t>Common</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gridSpan w:val="2"/>
          </w:tcPr>
          <w:p>
            <w:pPr>
              <w:jc w:val="center"/>
              <w:ind w:right="340"/>
              <w:spacing w:after="0" w:line="122" w:lineRule="exact"/>
              <w:rPr>
                <w:sz w:val="20"/>
                <w:szCs w:val="20"/>
                <w:color w:val="auto"/>
              </w:rPr>
            </w:pPr>
            <w:r>
              <w:rPr>
                <w:rFonts w:ascii="Times New Roman" w:cs="Times New Roman" w:eastAsia="Times New Roman" w:hAnsi="Times New Roman"/>
                <w:sz w:val="11"/>
                <w:szCs w:val="11"/>
                <w:b w:val="1"/>
                <w:bCs w:val="1"/>
                <w:color w:val="auto"/>
                <w:w w:val="93"/>
              </w:rPr>
              <w:t>Paid-in</w:t>
            </w:r>
          </w:p>
        </w:tc>
        <w:tc>
          <w:tcPr>
            <w:tcW w:w="160" w:type="dxa"/>
            <w:vAlign w:val="bottom"/>
          </w:tcPr>
          <w:p>
            <w:pPr>
              <w:spacing w:after="0"/>
              <w:rPr>
                <w:sz w:val="10"/>
                <w:szCs w:val="10"/>
                <w:color w:val="auto"/>
              </w:rPr>
            </w:pPr>
          </w:p>
        </w:tc>
        <w:tc>
          <w:tcPr>
            <w:tcW w:w="780" w:type="dxa"/>
            <w:vAlign w:val="bottom"/>
            <w:gridSpan w:val="2"/>
          </w:tcPr>
          <w:p>
            <w:pPr>
              <w:jc w:val="center"/>
              <w:ind w:right="299"/>
              <w:spacing w:after="0" w:line="122" w:lineRule="exact"/>
              <w:rPr>
                <w:sz w:val="20"/>
                <w:szCs w:val="20"/>
                <w:color w:val="auto"/>
              </w:rPr>
            </w:pPr>
            <w:r>
              <w:rPr>
                <w:rFonts w:ascii="Times New Roman" w:cs="Times New Roman" w:eastAsia="Times New Roman" w:hAnsi="Times New Roman"/>
                <w:sz w:val="11"/>
                <w:szCs w:val="11"/>
                <w:b w:val="1"/>
                <w:bCs w:val="1"/>
                <w:color w:val="auto"/>
                <w:w w:val="80"/>
              </w:rPr>
              <w:t>e</w:t>
            </w:r>
          </w:p>
        </w:tc>
        <w:tc>
          <w:tcPr>
            <w:tcW w:w="120" w:type="dxa"/>
            <w:vAlign w:val="bottom"/>
          </w:tcPr>
          <w:p>
            <w:pPr>
              <w:spacing w:after="0"/>
              <w:rPr>
                <w:sz w:val="10"/>
                <w:szCs w:val="10"/>
                <w:color w:val="auto"/>
              </w:rPr>
            </w:pPr>
          </w:p>
        </w:tc>
        <w:tc>
          <w:tcPr>
            <w:tcW w:w="820" w:type="dxa"/>
            <w:vAlign w:val="bottom"/>
            <w:gridSpan w:val="2"/>
          </w:tcPr>
          <w:p>
            <w:pPr>
              <w:jc w:val="center"/>
              <w:ind w:right="259"/>
              <w:spacing w:after="0" w:line="122" w:lineRule="exact"/>
              <w:rPr>
                <w:sz w:val="20"/>
                <w:szCs w:val="20"/>
                <w:color w:val="auto"/>
              </w:rPr>
            </w:pPr>
            <w:r>
              <w:rPr>
                <w:rFonts w:ascii="Times New Roman" w:cs="Times New Roman" w:eastAsia="Times New Roman" w:hAnsi="Times New Roman"/>
                <w:sz w:val="11"/>
                <w:szCs w:val="11"/>
                <w:b w:val="1"/>
                <w:bCs w:val="1"/>
                <w:color w:val="auto"/>
                <w:w w:val="94"/>
              </w:rPr>
              <w:t>Retained</w:t>
            </w:r>
          </w:p>
        </w:tc>
        <w:tc>
          <w:tcPr>
            <w:tcW w:w="940" w:type="dxa"/>
            <w:vAlign w:val="bottom"/>
            <w:gridSpan w:val="3"/>
          </w:tcPr>
          <w:p>
            <w:pPr>
              <w:jc w:val="center"/>
              <w:ind w:right="200"/>
              <w:spacing w:after="0" w:line="122" w:lineRule="exact"/>
              <w:rPr>
                <w:sz w:val="20"/>
                <w:szCs w:val="20"/>
                <w:color w:val="auto"/>
              </w:rPr>
            </w:pPr>
            <w:r>
              <w:rPr>
                <w:rFonts w:ascii="Times New Roman" w:cs="Times New Roman" w:eastAsia="Times New Roman" w:hAnsi="Times New Roman"/>
                <w:sz w:val="11"/>
                <w:szCs w:val="11"/>
                <w:b w:val="1"/>
                <w:bCs w:val="1"/>
                <w:color w:val="auto"/>
                <w:w w:val="96"/>
              </w:rPr>
              <w:t>Stockholders'</w:t>
            </w:r>
          </w:p>
        </w:tc>
        <w:tc>
          <w:tcPr>
            <w:tcW w:w="960" w:type="dxa"/>
            <w:vAlign w:val="bottom"/>
            <w:gridSpan w:val="3"/>
          </w:tcPr>
          <w:p>
            <w:pPr>
              <w:ind w:left="20"/>
              <w:spacing w:after="0" w:line="122" w:lineRule="exact"/>
              <w:rPr>
                <w:sz w:val="20"/>
                <w:szCs w:val="20"/>
                <w:color w:val="auto"/>
              </w:rPr>
            </w:pPr>
            <w:r>
              <w:rPr>
                <w:rFonts w:ascii="Times New Roman" w:cs="Times New Roman" w:eastAsia="Times New Roman" w:hAnsi="Times New Roman"/>
                <w:sz w:val="11"/>
                <w:szCs w:val="11"/>
                <w:b w:val="1"/>
                <w:bCs w:val="1"/>
                <w:color w:val="auto"/>
              </w:rPr>
              <w:t>Noncontrolling</w:t>
            </w:r>
          </w:p>
        </w:tc>
        <w:tc>
          <w:tcPr>
            <w:tcW w:w="840" w:type="dxa"/>
            <w:vAlign w:val="bottom"/>
            <w:gridSpan w:val="3"/>
          </w:tcPr>
          <w:p>
            <w:pPr>
              <w:jc w:val="center"/>
              <w:ind w:right="120"/>
              <w:spacing w:after="0" w:line="122" w:lineRule="exact"/>
              <w:rPr>
                <w:sz w:val="20"/>
                <w:szCs w:val="20"/>
                <w:color w:val="auto"/>
              </w:rPr>
            </w:pPr>
            <w:r>
              <w:rPr>
                <w:rFonts w:ascii="Times New Roman" w:cs="Times New Roman" w:eastAsia="Times New Roman" w:hAnsi="Times New Roman"/>
                <w:sz w:val="11"/>
                <w:szCs w:val="11"/>
                <w:b w:val="1"/>
                <w:bCs w:val="1"/>
                <w:color w:val="auto"/>
                <w:w w:val="99"/>
              </w:rPr>
              <w:t>Stockholders'</w:t>
            </w:r>
          </w:p>
        </w:tc>
      </w:tr>
      <w:tr>
        <w:trPr>
          <w:trHeight w:val="146"/>
        </w:trPr>
        <w:tc>
          <w:tcPr>
            <w:tcW w:w="3600" w:type="dxa"/>
            <w:vAlign w:val="bottom"/>
          </w:tcPr>
          <w:p>
            <w:pPr>
              <w:spacing w:after="0"/>
              <w:rPr>
                <w:sz w:val="12"/>
                <w:szCs w:val="12"/>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5"/>
              </w:rPr>
              <w:t>Outstanding</w:t>
            </w:r>
          </w:p>
        </w:tc>
        <w:tc>
          <w:tcPr>
            <w:tcW w:w="2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center"/>
              <w:ind w:right="42"/>
              <w:spacing w:after="0"/>
              <w:rPr>
                <w:sz w:val="20"/>
                <w:szCs w:val="20"/>
                <w:color w:val="auto"/>
              </w:rPr>
            </w:pPr>
            <w:r>
              <w:rPr>
                <w:rFonts w:ascii="Times New Roman" w:cs="Times New Roman" w:eastAsia="Times New Roman" w:hAnsi="Times New Roman"/>
                <w:sz w:val="11"/>
                <w:szCs w:val="11"/>
                <w:b w:val="1"/>
                <w:bCs w:val="1"/>
                <w:color w:val="auto"/>
                <w:w w:val="98"/>
              </w:rPr>
              <w:t>Stock</w:t>
            </w:r>
          </w:p>
        </w:tc>
        <w:tc>
          <w:tcPr>
            <w:tcW w:w="2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center"/>
              <w:ind w:right="23"/>
              <w:spacing w:after="0"/>
              <w:rPr>
                <w:sz w:val="20"/>
                <w:szCs w:val="20"/>
                <w:color w:val="auto"/>
              </w:rPr>
            </w:pPr>
            <w:r>
              <w:rPr>
                <w:rFonts w:ascii="Times New Roman" w:cs="Times New Roman" w:eastAsia="Times New Roman" w:hAnsi="Times New Roman"/>
                <w:sz w:val="11"/>
                <w:szCs w:val="11"/>
                <w:b w:val="1"/>
                <w:bCs w:val="1"/>
                <w:color w:val="auto"/>
                <w:w w:val="97"/>
              </w:rPr>
              <w:t>Capital</w:t>
            </w:r>
          </w:p>
        </w:tc>
        <w:tc>
          <w:tcPr>
            <w:tcW w:w="2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center"/>
              <w:ind w:right="83"/>
              <w:spacing w:after="0"/>
              <w:rPr>
                <w:sz w:val="20"/>
                <w:szCs w:val="20"/>
                <w:color w:val="auto"/>
              </w:rPr>
            </w:pPr>
            <w:r>
              <w:rPr>
                <w:rFonts w:ascii="Times New Roman" w:cs="Times New Roman" w:eastAsia="Times New Roman" w:hAnsi="Times New Roman"/>
                <w:sz w:val="11"/>
                <w:szCs w:val="11"/>
                <w:b w:val="1"/>
                <w:bCs w:val="1"/>
                <w:color w:val="auto"/>
                <w:w w:val="93"/>
              </w:rPr>
              <w:t>Loss</w:t>
            </w:r>
          </w:p>
        </w:tc>
        <w:tc>
          <w:tcPr>
            <w:tcW w:w="2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center"/>
              <w:ind w:right="22"/>
              <w:spacing w:after="0"/>
              <w:rPr>
                <w:sz w:val="20"/>
                <w:szCs w:val="20"/>
                <w:color w:val="auto"/>
              </w:rPr>
            </w:pPr>
            <w:r>
              <w:rPr>
                <w:rFonts w:ascii="Times New Roman" w:cs="Times New Roman" w:eastAsia="Times New Roman" w:hAnsi="Times New Roman"/>
                <w:sz w:val="11"/>
                <w:szCs w:val="11"/>
                <w:b w:val="1"/>
                <w:bCs w:val="1"/>
                <w:color w:val="auto"/>
                <w:w w:val="96"/>
              </w:rPr>
              <w:t>Deficit</w:t>
            </w:r>
          </w:p>
        </w:tc>
        <w:tc>
          <w:tcPr>
            <w:tcW w:w="2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center"/>
              <w:ind w:right="43"/>
              <w:spacing w:after="0"/>
              <w:rPr>
                <w:sz w:val="20"/>
                <w:szCs w:val="20"/>
                <w:color w:val="auto"/>
              </w:rPr>
            </w:pPr>
            <w:r>
              <w:rPr>
                <w:rFonts w:ascii="Times New Roman" w:cs="Times New Roman" w:eastAsia="Times New Roman" w:hAnsi="Times New Roman"/>
                <w:sz w:val="11"/>
                <w:szCs w:val="11"/>
                <w:b w:val="1"/>
                <w:bCs w:val="1"/>
                <w:color w:val="auto"/>
                <w:w w:val="94"/>
              </w:rPr>
              <w:t>Equity</w:t>
            </w:r>
          </w:p>
        </w:tc>
        <w:tc>
          <w:tcPr>
            <w:tcW w:w="2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1"/>
                <w:szCs w:val="11"/>
                <w:b w:val="1"/>
                <w:bCs w:val="1"/>
                <w:color w:val="auto"/>
              </w:rPr>
              <w:t>Interests</w:t>
            </w:r>
          </w:p>
        </w:tc>
        <w:tc>
          <w:tcPr>
            <w:tcW w:w="2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center"/>
              <w:ind w:right="82"/>
              <w:spacing w:after="0"/>
              <w:rPr>
                <w:sz w:val="20"/>
                <w:szCs w:val="20"/>
                <w:color w:val="auto"/>
              </w:rPr>
            </w:pPr>
            <w:r>
              <w:rPr>
                <w:rFonts w:ascii="Times New Roman" w:cs="Times New Roman" w:eastAsia="Times New Roman" w:hAnsi="Times New Roman"/>
                <w:sz w:val="11"/>
                <w:szCs w:val="11"/>
                <w:b w:val="1"/>
                <w:bCs w:val="1"/>
                <w:color w:val="auto"/>
              </w:rPr>
              <w:t>Equity</w:t>
            </w:r>
          </w:p>
        </w:tc>
        <w:tc>
          <w:tcPr>
            <w:tcW w:w="100" w:type="dxa"/>
            <w:vAlign w:val="bottom"/>
          </w:tcPr>
          <w:p>
            <w:pPr>
              <w:spacing w:after="0"/>
              <w:rPr>
                <w:sz w:val="12"/>
                <w:szCs w:val="12"/>
                <w:color w:val="auto"/>
              </w:rPr>
            </w:pPr>
          </w:p>
        </w:tc>
      </w:tr>
      <w:tr>
        <w:trPr>
          <w:trHeight w:val="247"/>
        </w:trPr>
        <w:tc>
          <w:tcPr>
            <w:tcW w:w="3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Balance at December 31, 2022</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393</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8,754</w:t>
            </w:r>
          </w:p>
        </w:tc>
        <w:tc>
          <w:tcPr>
            <w:tcW w:w="220" w:type="dxa"/>
            <w:vAlign w:val="bottom"/>
            <w:shd w:val="clear" w:color="auto" w:fill="CFF0FC"/>
          </w:tcPr>
          <w:p>
            <w:pPr>
              <w:spacing w:after="0"/>
              <w:rPr>
                <w:sz w:val="21"/>
                <w:szCs w:val="21"/>
                <w:color w:val="auto"/>
              </w:rPr>
            </w:pPr>
          </w:p>
        </w:tc>
        <w:tc>
          <w:tcPr>
            <w:tcW w:w="1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gridSpan w:val="2"/>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(1,593 )</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gridSpan w:val="2"/>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(2,069 )</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5,096</w:t>
            </w:r>
          </w:p>
        </w:tc>
        <w:tc>
          <w:tcPr>
            <w:tcW w:w="200" w:type="dxa"/>
            <w:vAlign w:val="bottom"/>
            <w:shd w:val="clear" w:color="auto" w:fill="CFF0FC"/>
          </w:tcPr>
          <w:p>
            <w:pPr>
              <w:spacing w:after="0"/>
              <w:rPr>
                <w:sz w:val="21"/>
                <w:szCs w:val="21"/>
                <w:color w:val="auto"/>
              </w:rPr>
            </w:pPr>
          </w:p>
        </w:tc>
        <w:tc>
          <w:tcPr>
            <w:tcW w:w="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5,134</w:t>
            </w:r>
          </w:p>
        </w:tc>
        <w:tc>
          <w:tcPr>
            <w:tcW w:w="100" w:type="dxa"/>
            <w:vAlign w:val="bottom"/>
            <w:shd w:val="clear" w:color="auto" w:fill="CFF0FC"/>
          </w:tcPr>
          <w:p>
            <w:pPr>
              <w:spacing w:after="0"/>
              <w:rPr>
                <w:sz w:val="21"/>
                <w:szCs w:val="21"/>
                <w:color w:val="auto"/>
              </w:rPr>
            </w:pPr>
          </w:p>
        </w:tc>
      </w:tr>
      <w:tr>
        <w:trPr>
          <w:trHeight w:val="20"/>
        </w:trPr>
        <w:tc>
          <w:tcPr>
            <w:tcW w:w="3600" w:type="dxa"/>
            <w:vAlign w:val="bottom"/>
            <w:tcBorders>
              <w:top w:val="single" w:sz="8" w:color="CFF0FC"/>
            </w:tcBorders>
            <w:shd w:val="clear" w:color="auto" w:fill="CFF0FC"/>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200"/>
        </w:trPr>
        <w:tc>
          <w:tcPr>
            <w:tcW w:w="3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(1 )</w:t>
            </w:r>
          </w:p>
        </w:tc>
        <w:tc>
          <w:tcPr>
            <w:tcW w:w="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w:t>
            </w:r>
          </w:p>
        </w:tc>
        <w:tc>
          <w:tcPr>
            <w:tcW w:w="100" w:type="dxa"/>
            <w:vAlign w:val="bottom"/>
          </w:tcPr>
          <w:p>
            <w:pPr>
              <w:spacing w:after="0"/>
              <w:rPr>
                <w:sz w:val="17"/>
                <w:szCs w:val="17"/>
                <w:color w:val="auto"/>
              </w:rPr>
            </w:pPr>
          </w:p>
        </w:tc>
      </w:tr>
      <w:tr>
        <w:trPr>
          <w:trHeight w:val="239"/>
        </w:trPr>
        <w:tc>
          <w:tcPr>
            <w:tcW w:w="3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Other comprehensive income, net</w:t>
            </w:r>
          </w:p>
        </w:tc>
        <w:tc>
          <w:tcPr>
            <w:tcW w:w="10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20"/>
                <w:szCs w:val="20"/>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20" w:type="dxa"/>
            <w:vAlign w:val="bottom"/>
            <w:gridSpan w:val="2"/>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2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20"/>
                <w:szCs w:val="20"/>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00" w:type="dxa"/>
            <w:vAlign w:val="bottom"/>
            <w:shd w:val="clear" w:color="auto" w:fill="CFF0FC"/>
          </w:tcPr>
          <w:p>
            <w:pPr>
              <w:spacing w:after="0"/>
              <w:rPr>
                <w:sz w:val="20"/>
                <w:szCs w:val="20"/>
                <w:color w:val="auto"/>
              </w:rPr>
            </w:pPr>
          </w:p>
        </w:tc>
      </w:tr>
      <w:tr>
        <w:trPr>
          <w:trHeight w:val="220"/>
        </w:trPr>
        <w:tc>
          <w:tcPr>
            <w:tcW w:w="3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dividends, $0.05 per common share</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78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82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(20 )</w:t>
            </w:r>
          </w:p>
        </w:tc>
        <w:tc>
          <w:tcPr>
            <w:tcW w:w="120" w:type="dxa"/>
            <w:vAlign w:val="bottom"/>
          </w:tcPr>
          <w:p>
            <w:pPr>
              <w:spacing w:after="0"/>
              <w:rPr>
                <w:sz w:val="19"/>
                <w:szCs w:val="19"/>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(20 )</w:t>
            </w:r>
          </w:p>
        </w:tc>
        <w:tc>
          <w:tcPr>
            <w:tcW w:w="140" w:type="dxa"/>
            <w:vAlign w:val="bottom"/>
          </w:tcPr>
          <w:p>
            <w:pPr>
              <w:spacing w:after="0"/>
              <w:rPr>
                <w:sz w:val="19"/>
                <w:szCs w:val="19"/>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(20 )</w:t>
            </w:r>
          </w:p>
        </w:tc>
      </w:tr>
      <w:tr>
        <w:trPr>
          <w:trHeight w:val="239"/>
        </w:trPr>
        <w:tc>
          <w:tcPr>
            <w:tcW w:w="3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Transactions with non-controlling interests</w:t>
            </w:r>
          </w:p>
        </w:tc>
        <w:tc>
          <w:tcPr>
            <w:tcW w:w="10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2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780" w:type="dxa"/>
            <w:vAlign w:val="bottom"/>
            <w:gridSpan w:val="2"/>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20"/>
                <w:szCs w:val="20"/>
                <w:color w:val="auto"/>
              </w:rPr>
            </w:pPr>
          </w:p>
        </w:tc>
        <w:tc>
          <w:tcPr>
            <w:tcW w:w="820" w:type="dxa"/>
            <w:vAlign w:val="bottom"/>
            <w:gridSpan w:val="2"/>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2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00" w:type="dxa"/>
            <w:vAlign w:val="bottom"/>
            <w:shd w:val="clear" w:color="auto" w:fill="CFF0FC"/>
          </w:tcPr>
          <w:p>
            <w:pPr>
              <w:spacing w:after="0"/>
              <w:rPr>
                <w:sz w:val="20"/>
                <w:szCs w:val="20"/>
                <w:color w:val="auto"/>
              </w:rPr>
            </w:pPr>
          </w:p>
        </w:tc>
      </w:tr>
      <w:tr>
        <w:trPr>
          <w:trHeight w:val="220"/>
        </w:trPr>
        <w:tc>
          <w:tcPr>
            <w:tcW w:w="3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82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tcPr>
          <w:p>
            <w:pPr>
              <w:spacing w:after="0"/>
              <w:rPr>
                <w:sz w:val="19"/>
                <w:szCs w:val="19"/>
                <w:color w:val="auto"/>
              </w:rPr>
            </w:pPr>
          </w:p>
        </w:tc>
      </w:tr>
      <w:tr>
        <w:trPr>
          <w:trHeight w:val="239"/>
        </w:trPr>
        <w:tc>
          <w:tcPr>
            <w:tcW w:w="3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Common stock issued</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2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20"/>
                <w:szCs w:val="20"/>
                <w:color w:val="auto"/>
              </w:rPr>
            </w:pPr>
          </w:p>
        </w:tc>
        <w:tc>
          <w:tcPr>
            <w:tcW w:w="780" w:type="dxa"/>
            <w:vAlign w:val="bottom"/>
            <w:gridSpan w:val="2"/>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20"/>
                <w:szCs w:val="20"/>
                <w:color w:val="auto"/>
              </w:rPr>
            </w:pPr>
          </w:p>
        </w:tc>
        <w:tc>
          <w:tcPr>
            <w:tcW w:w="820" w:type="dxa"/>
            <w:vAlign w:val="bottom"/>
            <w:gridSpan w:val="2"/>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20"/>
                <w:szCs w:val="20"/>
                <w:color w:val="auto"/>
              </w:rPr>
            </w:pPr>
          </w:p>
        </w:tc>
        <w:tc>
          <w:tcPr>
            <w:tcW w:w="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20"/>
                <w:szCs w:val="20"/>
                <w:color w:val="auto"/>
              </w:rPr>
            </w:pPr>
          </w:p>
        </w:tc>
        <w:tc>
          <w:tcPr>
            <w:tcW w:w="8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20"/>
                <w:szCs w:val="20"/>
                <w:color w:val="auto"/>
              </w:rPr>
            </w:pPr>
          </w:p>
        </w:tc>
        <w:tc>
          <w:tcPr>
            <w:tcW w:w="7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20"/>
        </w:trPr>
        <w:tc>
          <w:tcPr>
            <w:tcW w:w="3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Withholding taxes</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(1 )</w:t>
            </w: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(17 )</w:t>
            </w:r>
          </w:p>
        </w:tc>
        <w:tc>
          <w:tcPr>
            <w:tcW w:w="160" w:type="dxa"/>
            <w:vAlign w:val="bottom"/>
          </w:tcPr>
          <w:p>
            <w:pPr>
              <w:spacing w:after="0"/>
              <w:rPr>
                <w:sz w:val="19"/>
                <w:szCs w:val="19"/>
                <w:color w:val="auto"/>
              </w:rPr>
            </w:pPr>
          </w:p>
        </w:tc>
        <w:tc>
          <w:tcPr>
            <w:tcW w:w="78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82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(17 )</w:t>
            </w:r>
          </w:p>
        </w:tc>
        <w:tc>
          <w:tcPr>
            <w:tcW w:w="140" w:type="dxa"/>
            <w:vAlign w:val="bottom"/>
          </w:tcPr>
          <w:p>
            <w:pPr>
              <w:spacing w:after="0"/>
              <w:rPr>
                <w:sz w:val="19"/>
                <w:szCs w:val="19"/>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(17 )</w:t>
            </w:r>
          </w:p>
        </w:tc>
      </w:tr>
      <w:tr>
        <w:trPr>
          <w:trHeight w:val="236"/>
        </w:trPr>
        <w:tc>
          <w:tcPr>
            <w:tcW w:w="36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2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0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26"/>
        </w:trPr>
        <w:tc>
          <w:tcPr>
            <w:tcW w:w="3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at March 31, 2023</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394</w:t>
            </w:r>
          </w:p>
        </w:tc>
        <w:tc>
          <w:tcPr>
            <w:tcW w:w="2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8,756</w:t>
            </w:r>
          </w:p>
        </w:tc>
        <w:tc>
          <w:tcPr>
            <w:tcW w:w="220" w:type="dxa"/>
            <w:vAlign w:val="bottom"/>
          </w:tcPr>
          <w:p>
            <w:pPr>
              <w:spacing w:after="0"/>
              <w:rPr>
                <w:sz w:val="19"/>
                <w:szCs w:val="19"/>
                <w:color w:val="auto"/>
              </w:rPr>
            </w:pPr>
          </w:p>
        </w:tc>
        <w:tc>
          <w:tcPr>
            <w:tcW w:w="160" w:type="dxa"/>
            <w:vAlign w:val="bottom"/>
          </w:tcPr>
          <w:p>
            <w:pPr>
              <w:jc w:val="right"/>
              <w:ind w:right="10"/>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(1,554 )</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(1,963 )</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5,243</w:t>
            </w:r>
          </w:p>
        </w:tc>
        <w:tc>
          <w:tcPr>
            <w:tcW w:w="200" w:type="dxa"/>
            <w:vAlign w:val="bottom"/>
          </w:tcPr>
          <w:p>
            <w:pPr>
              <w:spacing w:after="0"/>
              <w:rPr>
                <w:sz w:val="19"/>
                <w:szCs w:val="19"/>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2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5,308</w:t>
            </w:r>
          </w:p>
        </w:tc>
        <w:tc>
          <w:tcPr>
            <w:tcW w:w="100" w:type="dxa"/>
            <w:vAlign w:val="bottom"/>
          </w:tcPr>
          <w:p>
            <w:pPr>
              <w:spacing w:after="0"/>
              <w:rPr>
                <w:sz w:val="19"/>
                <w:szCs w:val="19"/>
                <w:color w:val="auto"/>
              </w:rPr>
            </w:pPr>
          </w:p>
        </w:tc>
      </w:tr>
      <w:tr>
        <w:trPr>
          <w:trHeight w:val="20"/>
        </w:trPr>
        <w:tc>
          <w:tcPr>
            <w:tcW w:w="36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3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0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155</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155</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157</w:t>
            </w:r>
          </w:p>
        </w:tc>
        <w:tc>
          <w:tcPr>
            <w:tcW w:w="100" w:type="dxa"/>
            <w:vAlign w:val="bottom"/>
            <w:shd w:val="clear" w:color="auto" w:fill="CFF0FC"/>
          </w:tcPr>
          <w:p>
            <w:pPr>
              <w:spacing w:after="0"/>
              <w:rPr>
                <w:sz w:val="18"/>
                <w:szCs w:val="18"/>
                <w:color w:val="auto"/>
              </w:rPr>
            </w:pPr>
          </w:p>
        </w:tc>
      </w:tr>
      <w:tr>
        <w:trPr>
          <w:trHeight w:val="220"/>
        </w:trPr>
        <w:tc>
          <w:tcPr>
            <w:tcW w:w="3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income, net</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00" w:type="dxa"/>
            <w:vAlign w:val="bottom"/>
          </w:tcPr>
          <w:p>
            <w:pPr>
              <w:spacing w:after="0"/>
              <w:rPr>
                <w:sz w:val="19"/>
                <w:szCs w:val="19"/>
                <w:color w:val="auto"/>
              </w:rPr>
            </w:pPr>
          </w:p>
        </w:tc>
      </w:tr>
      <w:tr>
        <w:trPr>
          <w:trHeight w:val="239"/>
        </w:trPr>
        <w:tc>
          <w:tcPr>
            <w:tcW w:w="3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Cash dividends, $0.05 per common share</w:t>
            </w:r>
          </w:p>
        </w:tc>
        <w:tc>
          <w:tcPr>
            <w:tcW w:w="10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20"/>
                <w:szCs w:val="20"/>
                <w:color w:val="auto"/>
              </w:rPr>
            </w:pPr>
          </w:p>
        </w:tc>
        <w:tc>
          <w:tcPr>
            <w:tcW w:w="780" w:type="dxa"/>
            <w:vAlign w:val="bottom"/>
            <w:gridSpan w:val="2"/>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20"/>
                <w:szCs w:val="20"/>
                <w:color w:val="auto"/>
              </w:rPr>
            </w:pPr>
          </w:p>
        </w:tc>
        <w:tc>
          <w:tcPr>
            <w:tcW w:w="820" w:type="dxa"/>
            <w:vAlign w:val="bottom"/>
            <w:gridSpan w:val="2"/>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(20 )</w:t>
            </w:r>
          </w:p>
        </w:tc>
        <w:tc>
          <w:tcPr>
            <w:tcW w:w="120" w:type="dxa"/>
            <w:vAlign w:val="bottom"/>
            <w:shd w:val="clear" w:color="auto" w:fill="CFF0FC"/>
          </w:tcPr>
          <w:p>
            <w:pPr>
              <w:spacing w:after="0"/>
              <w:rPr>
                <w:sz w:val="20"/>
                <w:szCs w:val="20"/>
                <w:color w:val="auto"/>
              </w:rPr>
            </w:pPr>
          </w:p>
        </w:tc>
        <w:tc>
          <w:tcPr>
            <w:tcW w:w="8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(20 )</w:t>
            </w:r>
          </w:p>
        </w:tc>
        <w:tc>
          <w:tcPr>
            <w:tcW w:w="140" w:type="dxa"/>
            <w:vAlign w:val="bottom"/>
            <w:shd w:val="clear" w:color="auto" w:fill="CFF0FC"/>
          </w:tcPr>
          <w:p>
            <w:pPr>
              <w:spacing w:after="0"/>
              <w:rPr>
                <w:sz w:val="20"/>
                <w:szCs w:val="20"/>
                <w:color w:val="auto"/>
              </w:rPr>
            </w:pPr>
          </w:p>
        </w:tc>
        <w:tc>
          <w:tcPr>
            <w:tcW w:w="8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20"/>
                <w:szCs w:val="20"/>
                <w:color w:val="auto"/>
              </w:rPr>
            </w:pPr>
          </w:p>
        </w:tc>
        <w:tc>
          <w:tcPr>
            <w:tcW w:w="7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(20 )</w:t>
            </w:r>
          </w:p>
        </w:tc>
      </w:tr>
      <w:tr>
        <w:trPr>
          <w:trHeight w:val="220"/>
        </w:trPr>
        <w:tc>
          <w:tcPr>
            <w:tcW w:w="3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82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tcPr>
          <w:p>
            <w:pPr>
              <w:spacing w:after="0"/>
              <w:rPr>
                <w:sz w:val="19"/>
                <w:szCs w:val="19"/>
                <w:color w:val="auto"/>
              </w:rPr>
            </w:pPr>
          </w:p>
        </w:tc>
      </w:tr>
      <w:tr>
        <w:trPr>
          <w:trHeight w:val="236"/>
        </w:trPr>
        <w:tc>
          <w:tcPr>
            <w:tcW w:w="3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(4 )</w:t>
            </w:r>
          </w:p>
        </w:tc>
        <w:tc>
          <w:tcPr>
            <w:tcW w:w="140" w:type="dxa"/>
            <w:vAlign w:val="bottom"/>
            <w:shd w:val="clear" w:color="auto" w:fill="CFF0FC"/>
          </w:tcPr>
          <w:p>
            <w:pPr>
              <w:spacing w:after="0"/>
              <w:rPr>
                <w:sz w:val="20"/>
                <w:szCs w:val="20"/>
                <w:color w:val="auto"/>
              </w:rPr>
            </w:pPr>
          </w:p>
        </w:tc>
        <w:tc>
          <w:tcPr>
            <w:tcW w:w="7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(4 )</w:t>
            </w:r>
          </w:p>
        </w:tc>
      </w:tr>
      <w:tr>
        <w:trPr>
          <w:trHeight w:val="20"/>
        </w:trPr>
        <w:tc>
          <w:tcPr>
            <w:tcW w:w="3600" w:type="dxa"/>
            <w:vAlign w:val="bottom"/>
            <w:shd w:val="clear" w:color="auto" w:fill="CFF0F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26"/>
        </w:trPr>
        <w:tc>
          <w:tcPr>
            <w:tcW w:w="3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at June 30, 2023</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394</w:t>
            </w:r>
          </w:p>
        </w:tc>
        <w:tc>
          <w:tcPr>
            <w:tcW w:w="2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2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8,773</w:t>
            </w:r>
          </w:p>
        </w:tc>
        <w:tc>
          <w:tcPr>
            <w:tcW w:w="220" w:type="dxa"/>
            <w:vAlign w:val="bottom"/>
          </w:tcPr>
          <w:p>
            <w:pPr>
              <w:spacing w:after="0"/>
              <w:rPr>
                <w:sz w:val="19"/>
                <w:szCs w:val="19"/>
                <w:color w:val="auto"/>
              </w:rPr>
            </w:pPr>
          </w:p>
        </w:tc>
        <w:tc>
          <w:tcPr>
            <w:tcW w:w="160" w:type="dxa"/>
            <w:vAlign w:val="bottom"/>
          </w:tcPr>
          <w:p>
            <w:pPr>
              <w:jc w:val="right"/>
              <w:ind w:right="10"/>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(1,515 )</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(1,828 )</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5,434</w:t>
            </w:r>
          </w:p>
        </w:tc>
        <w:tc>
          <w:tcPr>
            <w:tcW w:w="200" w:type="dxa"/>
            <w:vAlign w:val="bottom"/>
          </w:tcPr>
          <w:p>
            <w:pPr>
              <w:spacing w:after="0"/>
              <w:rPr>
                <w:sz w:val="19"/>
                <w:szCs w:val="19"/>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2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5,497</w:t>
            </w:r>
          </w:p>
        </w:tc>
        <w:tc>
          <w:tcPr>
            <w:tcW w:w="100" w:type="dxa"/>
            <w:vAlign w:val="bottom"/>
          </w:tcPr>
          <w:p>
            <w:pPr>
              <w:spacing w:after="0"/>
              <w:rPr>
                <w:sz w:val="19"/>
                <w:szCs w:val="19"/>
                <w:color w:val="auto"/>
              </w:rPr>
            </w:pPr>
          </w:p>
        </w:tc>
      </w:tr>
      <w:tr>
        <w:trPr>
          <w:trHeight w:val="20"/>
        </w:trPr>
        <w:tc>
          <w:tcPr>
            <w:tcW w:w="36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2796540</wp:posOffset>
            </wp:positionH>
            <wp:positionV relativeFrom="paragraph">
              <wp:posOffset>-4211955</wp:posOffset>
            </wp:positionV>
            <wp:extent cx="7683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2796540</wp:posOffset>
            </wp:positionH>
            <wp:positionV relativeFrom="paragraph">
              <wp:posOffset>-4194810</wp:posOffset>
            </wp:positionV>
            <wp:extent cx="7683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3430270</wp:posOffset>
            </wp:positionH>
            <wp:positionV relativeFrom="paragraph">
              <wp:posOffset>-4211955</wp:posOffset>
            </wp:positionV>
            <wp:extent cx="7683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3430270</wp:posOffset>
            </wp:positionH>
            <wp:positionV relativeFrom="paragraph">
              <wp:posOffset>-4194810</wp:posOffset>
            </wp:positionV>
            <wp:extent cx="7683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4063365</wp:posOffset>
            </wp:positionH>
            <wp:positionV relativeFrom="paragraph">
              <wp:posOffset>-4211955</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4063365</wp:posOffset>
            </wp:positionH>
            <wp:positionV relativeFrom="paragraph">
              <wp:posOffset>-4194810</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4662805</wp:posOffset>
            </wp:positionH>
            <wp:positionV relativeFrom="paragraph">
              <wp:posOffset>-4211955</wp:posOffset>
            </wp:positionV>
            <wp:extent cx="685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4662805</wp:posOffset>
            </wp:positionH>
            <wp:positionV relativeFrom="paragraph">
              <wp:posOffset>-4194810</wp:posOffset>
            </wp:positionV>
            <wp:extent cx="685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5262245</wp:posOffset>
            </wp:positionH>
            <wp:positionV relativeFrom="paragraph">
              <wp:posOffset>-4211955</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5262245</wp:posOffset>
            </wp:positionH>
            <wp:positionV relativeFrom="paragraph">
              <wp:posOffset>-4194810</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5861685</wp:posOffset>
            </wp:positionH>
            <wp:positionV relativeFrom="paragraph">
              <wp:posOffset>-4211955</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5861685</wp:posOffset>
            </wp:positionH>
            <wp:positionV relativeFrom="paragraph">
              <wp:posOffset>-4194810</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6461125</wp:posOffset>
            </wp:positionH>
            <wp:positionV relativeFrom="paragraph">
              <wp:posOffset>-4211955</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6461125</wp:posOffset>
            </wp:positionH>
            <wp:positionV relativeFrom="paragraph">
              <wp:posOffset>-4194810</wp:posOffset>
            </wp:positionV>
            <wp:extent cx="685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-4211955</wp:posOffset>
            </wp:positionV>
            <wp:extent cx="685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-4194810</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2796540</wp:posOffset>
            </wp:positionH>
            <wp:positionV relativeFrom="paragraph">
              <wp:posOffset>-3013075</wp:posOffset>
            </wp:positionV>
            <wp:extent cx="7683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2796540</wp:posOffset>
            </wp:positionH>
            <wp:positionV relativeFrom="paragraph">
              <wp:posOffset>-2995930</wp:posOffset>
            </wp:positionV>
            <wp:extent cx="7683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3430270</wp:posOffset>
            </wp:positionH>
            <wp:positionV relativeFrom="paragraph">
              <wp:posOffset>-3013075</wp:posOffset>
            </wp:positionV>
            <wp:extent cx="7683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3430270</wp:posOffset>
            </wp:positionH>
            <wp:positionV relativeFrom="paragraph">
              <wp:posOffset>-2995930</wp:posOffset>
            </wp:positionV>
            <wp:extent cx="7683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4063365</wp:posOffset>
            </wp:positionH>
            <wp:positionV relativeFrom="paragraph">
              <wp:posOffset>-3013075</wp:posOffset>
            </wp:positionV>
            <wp:extent cx="685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4063365</wp:posOffset>
            </wp:positionH>
            <wp:positionV relativeFrom="paragraph">
              <wp:posOffset>-2995930</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4662805</wp:posOffset>
            </wp:positionH>
            <wp:positionV relativeFrom="paragraph">
              <wp:posOffset>-3013075</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4662805</wp:posOffset>
            </wp:positionH>
            <wp:positionV relativeFrom="paragraph">
              <wp:posOffset>-2995930</wp:posOffset>
            </wp:positionV>
            <wp:extent cx="685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5262245</wp:posOffset>
            </wp:positionH>
            <wp:positionV relativeFrom="paragraph">
              <wp:posOffset>-3013075</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5262245</wp:posOffset>
            </wp:positionH>
            <wp:positionV relativeFrom="paragraph">
              <wp:posOffset>-2995930</wp:posOffset>
            </wp:positionV>
            <wp:extent cx="68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5861685</wp:posOffset>
            </wp:positionH>
            <wp:positionV relativeFrom="paragraph">
              <wp:posOffset>-3013075</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5861685</wp:posOffset>
            </wp:positionH>
            <wp:positionV relativeFrom="paragraph">
              <wp:posOffset>-2995930</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6461125</wp:posOffset>
            </wp:positionH>
            <wp:positionV relativeFrom="paragraph">
              <wp:posOffset>-3013075</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6461125</wp:posOffset>
            </wp:positionH>
            <wp:positionV relativeFrom="paragraph">
              <wp:posOffset>-2995930</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-3013075</wp:posOffset>
            </wp:positionV>
            <wp:extent cx="68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-2995930</wp:posOffset>
            </wp:positionV>
            <wp:extent cx="68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2796540</wp:posOffset>
            </wp:positionH>
            <wp:positionV relativeFrom="paragraph">
              <wp:posOffset>-2277110</wp:posOffset>
            </wp:positionV>
            <wp:extent cx="7683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2796540</wp:posOffset>
            </wp:positionH>
            <wp:positionV relativeFrom="paragraph">
              <wp:posOffset>-2259965</wp:posOffset>
            </wp:positionV>
            <wp:extent cx="7683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3430270</wp:posOffset>
            </wp:positionH>
            <wp:positionV relativeFrom="paragraph">
              <wp:posOffset>-2277110</wp:posOffset>
            </wp:positionV>
            <wp:extent cx="7683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3430270</wp:posOffset>
            </wp:positionH>
            <wp:positionV relativeFrom="paragraph">
              <wp:posOffset>-2259965</wp:posOffset>
            </wp:positionV>
            <wp:extent cx="7683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4063365</wp:posOffset>
            </wp:positionH>
            <wp:positionV relativeFrom="paragraph">
              <wp:posOffset>-2277110</wp:posOffset>
            </wp:positionV>
            <wp:extent cx="685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4063365</wp:posOffset>
            </wp:positionH>
            <wp:positionV relativeFrom="paragraph">
              <wp:posOffset>-2259965</wp:posOffset>
            </wp:positionV>
            <wp:extent cx="685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4662805</wp:posOffset>
            </wp:positionH>
            <wp:positionV relativeFrom="paragraph">
              <wp:posOffset>-2277110</wp:posOffset>
            </wp:positionV>
            <wp:extent cx="6858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4662805</wp:posOffset>
            </wp:positionH>
            <wp:positionV relativeFrom="paragraph">
              <wp:posOffset>-2259965</wp:posOffset>
            </wp:positionV>
            <wp:extent cx="685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5262245</wp:posOffset>
            </wp:positionH>
            <wp:positionV relativeFrom="paragraph">
              <wp:posOffset>-2277110</wp:posOffset>
            </wp:positionV>
            <wp:extent cx="685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5262245</wp:posOffset>
            </wp:positionH>
            <wp:positionV relativeFrom="paragraph">
              <wp:posOffset>-2259965</wp:posOffset>
            </wp:positionV>
            <wp:extent cx="685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5861685</wp:posOffset>
            </wp:positionH>
            <wp:positionV relativeFrom="paragraph">
              <wp:posOffset>-2277110</wp:posOffset>
            </wp:positionV>
            <wp:extent cx="685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5861685</wp:posOffset>
            </wp:positionH>
            <wp:positionV relativeFrom="paragraph">
              <wp:posOffset>-2259965</wp:posOffset>
            </wp:positionV>
            <wp:extent cx="685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6461125</wp:posOffset>
            </wp:positionH>
            <wp:positionV relativeFrom="paragraph">
              <wp:posOffset>-2277110</wp:posOffset>
            </wp:positionV>
            <wp:extent cx="685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6461125</wp:posOffset>
            </wp:positionH>
            <wp:positionV relativeFrom="paragraph">
              <wp:posOffset>-2259965</wp:posOffset>
            </wp:positionV>
            <wp:extent cx="685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-2277110</wp:posOffset>
            </wp:positionV>
            <wp:extent cx="685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-2259965</wp:posOffset>
            </wp:positionV>
            <wp:extent cx="685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2796540</wp:posOffset>
            </wp:positionH>
            <wp:positionV relativeFrom="paragraph">
              <wp:posOffset>-1086485</wp:posOffset>
            </wp:positionV>
            <wp:extent cx="7683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3430270</wp:posOffset>
            </wp:positionH>
            <wp:positionV relativeFrom="paragraph">
              <wp:posOffset>-1086485</wp:posOffset>
            </wp:positionV>
            <wp:extent cx="7683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4063365</wp:posOffset>
            </wp:positionH>
            <wp:positionV relativeFrom="paragraph">
              <wp:posOffset>-1086485</wp:posOffset>
            </wp:positionV>
            <wp:extent cx="6858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4662805</wp:posOffset>
            </wp:positionH>
            <wp:positionV relativeFrom="paragraph">
              <wp:posOffset>-1086485</wp:posOffset>
            </wp:positionV>
            <wp:extent cx="685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5262245</wp:posOffset>
            </wp:positionH>
            <wp:positionV relativeFrom="paragraph">
              <wp:posOffset>-1086485</wp:posOffset>
            </wp:positionV>
            <wp:extent cx="685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5861685</wp:posOffset>
            </wp:positionH>
            <wp:positionV relativeFrom="paragraph">
              <wp:posOffset>-1086485</wp:posOffset>
            </wp:positionV>
            <wp:extent cx="685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6461125</wp:posOffset>
            </wp:positionH>
            <wp:positionV relativeFrom="paragraph">
              <wp:posOffset>-1086485</wp:posOffset>
            </wp:positionV>
            <wp:extent cx="685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-1086485</wp:posOffset>
            </wp:positionV>
            <wp:extent cx="685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2796540</wp:posOffset>
            </wp:positionH>
            <wp:positionV relativeFrom="paragraph">
              <wp:posOffset>-179070</wp:posOffset>
            </wp:positionV>
            <wp:extent cx="7683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3430270</wp:posOffset>
            </wp:positionH>
            <wp:positionV relativeFrom="paragraph">
              <wp:posOffset>-179070</wp:posOffset>
            </wp:positionV>
            <wp:extent cx="7683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4063365</wp:posOffset>
            </wp:positionH>
            <wp:positionV relativeFrom="paragraph">
              <wp:posOffset>-179070</wp:posOffset>
            </wp:positionV>
            <wp:extent cx="6858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4662805</wp:posOffset>
            </wp:positionH>
            <wp:positionV relativeFrom="paragraph">
              <wp:posOffset>-179070</wp:posOffset>
            </wp:positionV>
            <wp:extent cx="685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5262245</wp:posOffset>
            </wp:positionH>
            <wp:positionV relativeFrom="paragraph">
              <wp:posOffset>-179070</wp:posOffset>
            </wp:positionV>
            <wp:extent cx="6858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5861685</wp:posOffset>
            </wp:positionH>
            <wp:positionV relativeFrom="paragraph">
              <wp:posOffset>-179070</wp:posOffset>
            </wp:positionV>
            <wp:extent cx="685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6461125</wp:posOffset>
            </wp:positionH>
            <wp:positionV relativeFrom="paragraph">
              <wp:posOffset>-179070</wp:posOffset>
            </wp:positionV>
            <wp:extent cx="685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-179070</wp:posOffset>
            </wp:positionV>
            <wp:extent cx="685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unaudited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NOV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29" w:lineRule="exact"/>
        <w:rPr>
          <w:sz w:val="20"/>
          <w:szCs w:val="20"/>
          <w:color w:val="auto"/>
        </w:rPr>
      </w:pPr>
    </w:p>
    <w:p>
      <w:pPr>
        <w:ind w:left="360" w:hanging="352"/>
        <w:spacing w:after="0"/>
        <w:tabs>
          <w:tab w:leader="none" w:pos="36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Presentation</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accompanying unaudited consolidated financial statements of NOV Inc. (“NOV” or the “Company”) present information in accordance with generally accepted accounting principles in the United States (“GAAP”) for interim financial information and the instructions to Form 10-Q and applicable rules of Regulation S-X. They do not include all information or footnotes required by GAAP for complete consolidated financial statements and should be read in conjunction with the audited consolidated financial statements and footnotes included in the Company’s 2023 Annual Report on Form 10-K. Certain reclassifications have been made to prior period financial information in order to conform with current period presentation.</w:t>
      </w:r>
    </w:p>
    <w:p>
      <w:pPr>
        <w:spacing w:after="0" w:line="182"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In our opinion, the consolidated financial statements include all adjustments, which are of a normal recurring nature unless otherwise disclosed, necessary for a fair presentation of the results for the interim periods. The results of operations for the three and six months ended June 30, 2024 are not necessarily indicative of the results to be expected for the full year.</w:t>
      </w:r>
    </w:p>
    <w:p>
      <w:pPr>
        <w:spacing w:after="0" w:line="177"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reported and contingent amounts of assets and liabilities as of the date of the financial statements and reported amounts of revenues and expenses during the reporting period. Actual results could differ from those estimates.</w:t>
      </w:r>
    </w:p>
    <w:p>
      <w:pPr>
        <w:spacing w:after="0" w:line="177"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The fair values of cash and cash equivalents, receivables and payables were approximately the same as their presented carrying values because of the short maturities of these instruments. The fair value of long-term debt is provided in Note 9, and the fair values of derivative financial instruments are provided in Note 12.</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2.   Inventories, net</w:t>
            </w: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324"/>
        </w:trPr>
        <w:tc>
          <w:tcPr>
            <w:tcW w:w="7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Inventories consist of (in millions):</w:t>
            </w: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72"/>
        </w:trPr>
        <w:tc>
          <w:tcPr>
            <w:tcW w:w="1700" w:type="dxa"/>
            <w:vAlign w:val="bottom"/>
          </w:tcPr>
          <w:p>
            <w:pPr>
              <w:spacing w:after="0"/>
              <w:rPr>
                <w:sz w:val="23"/>
                <w:szCs w:val="23"/>
                <w:color w:val="auto"/>
              </w:rPr>
            </w:pPr>
          </w:p>
        </w:tc>
        <w:tc>
          <w:tcPr>
            <w:tcW w:w="54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0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20" w:type="dxa"/>
            <w:vAlign w:val="bottom"/>
          </w:tcPr>
          <w:p>
            <w:pPr>
              <w:spacing w:after="0"/>
              <w:rPr>
                <w:sz w:val="23"/>
                <w:szCs w:val="23"/>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1700" w:type="dxa"/>
            <w:vAlign w:val="bottom"/>
          </w:tcPr>
          <w:p>
            <w:pPr>
              <w:spacing w:after="0"/>
              <w:rPr>
                <w:sz w:val="16"/>
                <w:szCs w:val="16"/>
                <w:color w:val="auto"/>
              </w:rPr>
            </w:pPr>
          </w:p>
        </w:tc>
        <w:tc>
          <w:tcPr>
            <w:tcW w:w="54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r>
      <w:tr>
        <w:trPr>
          <w:trHeight w:val="236"/>
        </w:trPr>
        <w:tc>
          <w:tcPr>
            <w:tcW w:w="1700" w:type="dxa"/>
            <w:vAlign w:val="bottom"/>
          </w:tcPr>
          <w:p>
            <w:pPr>
              <w:spacing w:after="0"/>
              <w:rPr>
                <w:sz w:val="20"/>
                <w:szCs w:val="20"/>
                <w:color w:val="auto"/>
              </w:rPr>
            </w:pPr>
          </w:p>
        </w:tc>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Raw materials and supplies</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479</w:t>
            </w:r>
          </w:p>
        </w:tc>
        <w:tc>
          <w:tcPr>
            <w:tcW w:w="80" w:type="dxa"/>
            <w:vAlign w:val="bottom"/>
            <w:shd w:val="clear" w:color="auto" w:fill="CFF0FC"/>
          </w:tcPr>
          <w:p>
            <w:pPr>
              <w:spacing w:after="0"/>
              <w:rPr>
                <w:sz w:val="20"/>
                <w:szCs w:val="20"/>
                <w:color w:val="auto"/>
              </w:rPr>
            </w:pPr>
          </w:p>
        </w:tc>
      </w:tr>
      <w:tr>
        <w:trPr>
          <w:trHeight w:val="238"/>
        </w:trPr>
        <w:tc>
          <w:tcPr>
            <w:tcW w:w="1700" w:type="dxa"/>
            <w:vAlign w:val="bottom"/>
          </w:tcPr>
          <w:p>
            <w:pPr>
              <w:spacing w:after="0"/>
              <w:rPr>
                <w:sz w:val="20"/>
                <w:szCs w:val="20"/>
                <w:color w:val="auto"/>
              </w:rPr>
            </w:pPr>
          </w:p>
        </w:tc>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Work in process</w:t>
            </w:r>
          </w:p>
        </w:tc>
        <w:tc>
          <w:tcPr>
            <w:tcW w:w="2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80" w:type="dxa"/>
            <w:vAlign w:val="bottom"/>
          </w:tcPr>
          <w:p>
            <w:pPr>
              <w:spacing w:after="0"/>
              <w:rPr>
                <w:sz w:val="20"/>
                <w:szCs w:val="20"/>
                <w:color w:val="auto"/>
              </w:rPr>
            </w:pPr>
          </w:p>
        </w:tc>
      </w:tr>
      <w:tr>
        <w:trPr>
          <w:trHeight w:val="243"/>
        </w:trPr>
        <w:tc>
          <w:tcPr>
            <w:tcW w:w="1700" w:type="dxa"/>
            <w:vAlign w:val="bottom"/>
          </w:tcPr>
          <w:p>
            <w:pPr>
              <w:spacing w:after="0"/>
              <w:rPr>
                <w:sz w:val="21"/>
                <w:szCs w:val="21"/>
                <w:color w:val="auto"/>
              </w:rPr>
            </w:pPr>
          </w:p>
        </w:tc>
        <w:tc>
          <w:tcPr>
            <w:tcW w:w="54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Finished goods and purchased products</w:t>
            </w:r>
          </w:p>
        </w:tc>
        <w:tc>
          <w:tcPr>
            <w:tcW w:w="20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1,779</w:t>
            </w:r>
          </w:p>
        </w:tc>
        <w:tc>
          <w:tcPr>
            <w:tcW w:w="2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1,796</w:t>
            </w:r>
          </w:p>
        </w:tc>
        <w:tc>
          <w:tcPr>
            <w:tcW w:w="80" w:type="dxa"/>
            <w:vAlign w:val="bottom"/>
            <w:tcBorders>
              <w:bottom w:val="single" w:sz="8" w:color="CFF0FC"/>
            </w:tcBorders>
            <w:shd w:val="clear" w:color="auto" w:fill="CFF0FC"/>
          </w:tcPr>
          <w:p>
            <w:pPr>
              <w:spacing w:after="0"/>
              <w:rPr>
                <w:sz w:val="21"/>
                <w:szCs w:val="21"/>
                <w:color w:val="auto"/>
              </w:rPr>
            </w:pPr>
          </w:p>
        </w:tc>
      </w:tr>
      <w:tr>
        <w:trPr>
          <w:trHeight w:val="232"/>
        </w:trPr>
        <w:tc>
          <w:tcPr>
            <w:tcW w:w="1700" w:type="dxa"/>
            <w:vAlign w:val="bottom"/>
          </w:tcPr>
          <w:p>
            <w:pPr>
              <w:spacing w:after="0"/>
              <w:rPr>
                <w:sz w:val="20"/>
                <w:szCs w:val="20"/>
                <w:color w:val="auto"/>
              </w:rPr>
            </w:pPr>
          </w:p>
        </w:tc>
        <w:tc>
          <w:tcPr>
            <w:tcW w:w="5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2,454</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2,505</w:t>
            </w:r>
          </w:p>
        </w:tc>
        <w:tc>
          <w:tcPr>
            <w:tcW w:w="80" w:type="dxa"/>
            <w:vAlign w:val="bottom"/>
          </w:tcPr>
          <w:p>
            <w:pPr>
              <w:spacing w:after="0"/>
              <w:rPr>
                <w:sz w:val="20"/>
                <w:szCs w:val="20"/>
                <w:color w:val="auto"/>
              </w:rPr>
            </w:pPr>
          </w:p>
        </w:tc>
      </w:tr>
      <w:tr>
        <w:trPr>
          <w:trHeight w:val="247"/>
        </w:trPr>
        <w:tc>
          <w:tcPr>
            <w:tcW w:w="1700" w:type="dxa"/>
            <w:vAlign w:val="bottom"/>
          </w:tcPr>
          <w:p>
            <w:pPr>
              <w:spacing w:after="0"/>
              <w:rPr>
                <w:sz w:val="21"/>
                <w:szCs w:val="21"/>
                <w:color w:val="auto"/>
              </w:rPr>
            </w:pPr>
          </w:p>
        </w:tc>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Inventory reserve</w:t>
            </w:r>
          </w:p>
        </w:tc>
        <w:tc>
          <w:tcPr>
            <w:tcW w:w="20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(297 )</w:t>
            </w:r>
          </w:p>
        </w:tc>
        <w:tc>
          <w:tcPr>
            <w:tcW w:w="12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(354 )</w:t>
            </w:r>
          </w:p>
        </w:tc>
      </w:tr>
      <w:tr>
        <w:trPr>
          <w:trHeight w:val="236"/>
        </w:trPr>
        <w:tc>
          <w:tcPr>
            <w:tcW w:w="1700" w:type="dxa"/>
            <w:vAlign w:val="bottom"/>
          </w:tcPr>
          <w:p>
            <w:pPr>
              <w:spacing w:after="0"/>
              <w:rPr>
                <w:sz w:val="20"/>
                <w:szCs w:val="20"/>
                <w:color w:val="auto"/>
              </w:rPr>
            </w:pPr>
          </w:p>
        </w:tc>
        <w:tc>
          <w:tcPr>
            <w:tcW w:w="5400" w:type="dxa"/>
            <w:vAlign w:val="bottom"/>
            <w:tcBorders>
              <w:top w:val="single" w:sz="8" w:color="CFF0FC"/>
            </w:tcBorders>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2,157</w:t>
            </w:r>
          </w:p>
        </w:tc>
        <w:tc>
          <w:tcPr>
            <w:tcW w:w="200" w:type="dxa"/>
            <w:vAlign w:val="bottom"/>
            <w:tcBorders>
              <w:top w:val="single" w:sz="8" w:color="CFF0FC"/>
            </w:tcBorders>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2,151</w:t>
            </w:r>
          </w:p>
        </w:tc>
        <w:tc>
          <w:tcPr>
            <w:tcW w:w="80" w:type="dxa"/>
            <w:vAlign w:val="bottom"/>
            <w:tcBorders>
              <w:top w:val="single" w:sz="8" w:color="CFF0FC"/>
            </w:tcBorders>
          </w:tcPr>
          <w:p>
            <w:pPr>
              <w:spacing w:after="0"/>
              <w:rPr>
                <w:sz w:val="20"/>
                <w:szCs w:val="20"/>
                <w:color w:val="auto"/>
              </w:rPr>
            </w:pPr>
          </w:p>
        </w:tc>
      </w:tr>
      <w:tr>
        <w:trPr>
          <w:trHeight w:val="20"/>
        </w:trPr>
        <w:tc>
          <w:tcPr>
            <w:tcW w:w="170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5210810</wp:posOffset>
            </wp:positionH>
            <wp:positionV relativeFrom="paragraph">
              <wp:posOffset>-504825</wp:posOffset>
            </wp:positionV>
            <wp:extent cx="5143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6024245</wp:posOffset>
            </wp:positionH>
            <wp:positionV relativeFrom="paragraph">
              <wp:posOffset>-504825</wp:posOffset>
            </wp:positionV>
            <wp:extent cx="4254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5210810</wp:posOffset>
            </wp:positionH>
            <wp:positionV relativeFrom="paragraph">
              <wp:posOffset>-187960</wp:posOffset>
            </wp:positionV>
            <wp:extent cx="5143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6024245</wp:posOffset>
            </wp:positionH>
            <wp:positionV relativeFrom="paragraph">
              <wp:posOffset>-187960</wp:posOffset>
            </wp:positionV>
            <wp:extent cx="4254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42545" cy="8255"/>
                    </a:xfrm>
                    <a:prstGeom prst="rect">
                      <a:avLst/>
                    </a:prstGeom>
                    <a:noFill/>
                  </pic:spPr>
                </pic:pic>
              </a:graphicData>
            </a:graphic>
          </wp:anchor>
        </w:drawing>
      </w:r>
    </w:p>
    <w:p>
      <w:pPr>
        <w:spacing w:after="0" w:line="200"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b w:val="1"/>
          <w:bCs w:val="1"/>
          <w:color w:val="auto"/>
        </w:rPr>
        <w:t>3.</w:t>
        <w:tab/>
        <w:t>Accrued Liabilities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liabilities consist of (in millions):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70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170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8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1700" w:type="dxa"/>
            <w:vAlign w:val="bottom"/>
          </w:tcPr>
          <w:p>
            <w:pPr>
              <w:spacing w:after="0"/>
              <w:rPr>
                <w:sz w:val="20"/>
                <w:szCs w:val="20"/>
                <w:color w:val="auto"/>
              </w:rPr>
            </w:pPr>
          </w:p>
        </w:tc>
        <w:tc>
          <w:tcPr>
            <w:tcW w:w="2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Compensation</w:t>
            </w:r>
          </w:p>
        </w:tc>
        <w:tc>
          <w:tcPr>
            <w:tcW w:w="3400" w:type="dxa"/>
            <w:vAlign w:val="bottom"/>
            <w:gridSpan w:val="2"/>
            <w:shd w:val="clear" w:color="auto" w:fill="CFF0FC"/>
          </w:tcPr>
          <w:p>
            <w:pPr>
              <w:jc w:val="right"/>
              <w:ind w:right="648"/>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205</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80" w:type="dxa"/>
            <w:vAlign w:val="bottom"/>
            <w:shd w:val="clear" w:color="auto" w:fill="CFF0FC"/>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1700" w:type="dxa"/>
            <w:vAlign w:val="bottom"/>
          </w:tcPr>
          <w:p>
            <w:pPr>
              <w:spacing w:after="0"/>
              <w:rPr>
                <w:sz w:val="20"/>
                <w:szCs w:val="20"/>
                <w:color w:val="auto"/>
              </w:rPr>
            </w:pPr>
          </w:p>
        </w:tc>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Vendor costs</w:t>
            </w:r>
          </w:p>
        </w:tc>
        <w:tc>
          <w:tcPr>
            <w:tcW w:w="25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144</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1700" w:type="dxa"/>
            <w:vAlign w:val="bottom"/>
          </w:tcPr>
          <w:p>
            <w:pPr>
              <w:spacing w:after="0"/>
              <w:rPr>
                <w:sz w:val="21"/>
                <w:szCs w:val="21"/>
                <w:color w:val="auto"/>
              </w:rPr>
            </w:pPr>
          </w:p>
        </w:tc>
        <w:tc>
          <w:tcPr>
            <w:tcW w:w="2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Taxes (non-income)</w:t>
            </w:r>
          </w:p>
        </w:tc>
        <w:tc>
          <w:tcPr>
            <w:tcW w:w="258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2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80" w:type="dxa"/>
            <w:vAlign w:val="bottom"/>
            <w:shd w:val="clear" w:color="auto" w:fill="CFF0FC"/>
          </w:tcPr>
          <w:p>
            <w:pPr>
              <w:spacing w:after="0"/>
              <w:rPr>
                <w:sz w:val="21"/>
                <w:szCs w:val="21"/>
                <w:color w:val="auto"/>
              </w:rPr>
            </w:pPr>
          </w:p>
        </w:tc>
        <w:tc>
          <w:tcPr>
            <w:tcW w:w="1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1700" w:type="dxa"/>
            <w:vAlign w:val="bottom"/>
          </w:tcPr>
          <w:p>
            <w:pPr>
              <w:spacing w:after="0"/>
              <w:rPr>
                <w:sz w:val="20"/>
                <w:szCs w:val="20"/>
                <w:color w:val="auto"/>
              </w:rPr>
            </w:pPr>
          </w:p>
        </w:tc>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Warranties</w:t>
            </w:r>
          </w:p>
        </w:tc>
        <w:tc>
          <w:tcPr>
            <w:tcW w:w="25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1700" w:type="dxa"/>
            <w:vAlign w:val="bottom"/>
          </w:tcPr>
          <w:p>
            <w:pPr>
              <w:spacing w:after="0"/>
              <w:rPr>
                <w:sz w:val="21"/>
                <w:szCs w:val="21"/>
                <w:color w:val="auto"/>
              </w:rPr>
            </w:pPr>
          </w:p>
        </w:tc>
        <w:tc>
          <w:tcPr>
            <w:tcW w:w="2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Insurance</w:t>
            </w:r>
          </w:p>
        </w:tc>
        <w:tc>
          <w:tcPr>
            <w:tcW w:w="258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2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80" w:type="dxa"/>
            <w:vAlign w:val="bottom"/>
            <w:shd w:val="clear" w:color="auto" w:fill="CFF0FC"/>
          </w:tcPr>
          <w:p>
            <w:pPr>
              <w:spacing w:after="0"/>
              <w:rPr>
                <w:sz w:val="21"/>
                <w:szCs w:val="21"/>
                <w:color w:val="auto"/>
              </w:rPr>
            </w:pPr>
          </w:p>
        </w:tc>
        <w:tc>
          <w:tcPr>
            <w:tcW w:w="1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1700" w:type="dxa"/>
            <w:vAlign w:val="bottom"/>
          </w:tcPr>
          <w:p>
            <w:pPr>
              <w:spacing w:after="0"/>
              <w:rPr>
                <w:sz w:val="20"/>
                <w:szCs w:val="20"/>
                <w:color w:val="auto"/>
              </w:rPr>
            </w:pPr>
          </w:p>
        </w:tc>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Commissions</w:t>
            </w:r>
          </w:p>
        </w:tc>
        <w:tc>
          <w:tcPr>
            <w:tcW w:w="25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1700" w:type="dxa"/>
            <w:vAlign w:val="bottom"/>
          </w:tcPr>
          <w:p>
            <w:pPr>
              <w:spacing w:after="0"/>
              <w:rPr>
                <w:sz w:val="21"/>
                <w:szCs w:val="21"/>
                <w:color w:val="auto"/>
              </w:rPr>
            </w:pPr>
          </w:p>
        </w:tc>
        <w:tc>
          <w:tcPr>
            <w:tcW w:w="2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Fair value of derivatives</w:t>
            </w:r>
          </w:p>
        </w:tc>
        <w:tc>
          <w:tcPr>
            <w:tcW w:w="258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shd w:val="clear" w:color="auto" w:fill="CFF0FC"/>
          </w:tcPr>
          <w:p>
            <w:pPr>
              <w:spacing w:after="0"/>
              <w:rPr>
                <w:sz w:val="21"/>
                <w:szCs w:val="21"/>
                <w:color w:val="auto"/>
              </w:rPr>
            </w:pPr>
          </w:p>
        </w:tc>
        <w:tc>
          <w:tcPr>
            <w:tcW w:w="1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1700" w:type="dxa"/>
            <w:vAlign w:val="bottom"/>
          </w:tcPr>
          <w:p>
            <w:pPr>
              <w:spacing w:after="0"/>
              <w:rPr>
                <w:sz w:val="20"/>
                <w:szCs w:val="20"/>
                <w:color w:val="auto"/>
              </w:rPr>
            </w:pPr>
          </w:p>
        </w:tc>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Interest</w:t>
            </w:r>
          </w:p>
        </w:tc>
        <w:tc>
          <w:tcPr>
            <w:tcW w:w="25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700" w:type="dxa"/>
            <w:vAlign w:val="bottom"/>
          </w:tcPr>
          <w:p>
            <w:pPr>
              <w:spacing w:after="0"/>
              <w:rPr>
                <w:sz w:val="21"/>
                <w:szCs w:val="21"/>
                <w:color w:val="auto"/>
              </w:rPr>
            </w:pPr>
          </w:p>
        </w:tc>
        <w:tc>
          <w:tcPr>
            <w:tcW w:w="28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2580" w:type="dxa"/>
            <w:vAlign w:val="bottom"/>
            <w:tcBorders>
              <w:bottom w:val="single" w:sz="8" w:color="CFF0FC"/>
            </w:tcBorders>
            <w:shd w:val="clear" w:color="auto" w:fill="CFF0FC"/>
          </w:tcPr>
          <w:p>
            <w:pPr>
              <w:spacing w:after="0"/>
              <w:rPr>
                <w:sz w:val="21"/>
                <w:szCs w:val="21"/>
                <w:color w:val="auto"/>
              </w:rPr>
            </w:pPr>
          </w:p>
        </w:tc>
        <w:tc>
          <w:tcPr>
            <w:tcW w:w="820" w:type="dxa"/>
            <w:vAlign w:val="bottom"/>
            <w:tcBorders>
              <w:bottom w:val="single" w:sz="8" w:color="auto"/>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169</w:t>
            </w:r>
          </w:p>
        </w:tc>
        <w:tc>
          <w:tcPr>
            <w:tcW w:w="2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80" w:type="dxa"/>
            <w:vAlign w:val="bottom"/>
            <w:tcBorders>
              <w:bottom w:val="single" w:sz="8" w:color="CFF0FC"/>
            </w:tcBorders>
            <w:shd w:val="clear" w:color="auto" w:fill="CFF0FC"/>
          </w:tcPr>
          <w:p>
            <w:pPr>
              <w:spacing w:after="0"/>
              <w:rPr>
                <w:sz w:val="21"/>
                <w:szCs w:val="21"/>
                <w:color w:val="auto"/>
              </w:rPr>
            </w:pPr>
          </w:p>
        </w:tc>
        <w:tc>
          <w:tcPr>
            <w:tcW w:w="1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700" w:type="dxa"/>
            <w:vAlign w:val="bottom"/>
          </w:tcPr>
          <w:p>
            <w:pPr>
              <w:spacing w:after="0"/>
              <w:rPr>
                <w:sz w:val="20"/>
                <w:szCs w:val="20"/>
                <w:color w:val="auto"/>
              </w:rPr>
            </w:pPr>
          </w:p>
        </w:tc>
        <w:tc>
          <w:tcPr>
            <w:tcW w:w="2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3400" w:type="dxa"/>
            <w:vAlign w:val="bottom"/>
            <w:gridSpan w:val="2"/>
          </w:tcPr>
          <w:p>
            <w:pPr>
              <w:jc w:val="right"/>
              <w:ind w:right="648"/>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782</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870</w:t>
            </w:r>
          </w:p>
        </w:tc>
        <w:tc>
          <w:tcPr>
            <w:tcW w:w="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580" w:type="dxa"/>
            <w:vAlign w:val="bottom"/>
            <w:vMerge w:val="restart"/>
          </w:tcPr>
          <w:p>
            <w:pPr>
              <w:jc w:val="right"/>
              <w:ind w:right="1350"/>
              <w:spacing w:after="0"/>
              <w:rPr>
                <w:sz w:val="20"/>
                <w:szCs w:val="20"/>
                <w:color w:val="auto"/>
              </w:rPr>
            </w:pPr>
            <w:r>
              <w:rPr>
                <w:rFonts w:ascii="Times New Roman" w:cs="Times New Roman" w:eastAsia="Times New Roman" w:hAnsi="Times New Roman"/>
                <w:sz w:val="18"/>
                <w:szCs w:val="18"/>
                <w:color w:val="auto"/>
              </w:rPr>
              <w:t>7</w:t>
            </w: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4"/>
        </w:trPr>
        <w:tc>
          <w:tcPr>
            <w:tcW w:w="170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2580" w:type="dxa"/>
            <w:vAlign w:val="bottom"/>
            <w:vMerge w:val="continue"/>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2"/>
        </w:trPr>
        <w:tc>
          <w:tcPr>
            <w:tcW w:w="1700" w:type="dxa"/>
            <w:vAlign w:val="bottom"/>
            <w:tcBorders>
              <w:bottom w:val="single" w:sz="8" w:color="9A9A9A"/>
            </w:tcBorders>
          </w:tcPr>
          <w:p>
            <w:pPr>
              <w:spacing w:after="0"/>
              <w:rPr>
                <w:sz w:val="24"/>
                <w:szCs w:val="24"/>
                <w:color w:val="auto"/>
              </w:rPr>
            </w:pPr>
          </w:p>
        </w:tc>
        <w:tc>
          <w:tcPr>
            <w:tcW w:w="2820" w:type="dxa"/>
            <w:vAlign w:val="bottom"/>
            <w:tcBorders>
              <w:bottom w:val="single" w:sz="8" w:color="9A9A9A"/>
            </w:tcBorders>
          </w:tcPr>
          <w:p>
            <w:pPr>
              <w:spacing w:after="0"/>
              <w:rPr>
                <w:sz w:val="24"/>
                <w:szCs w:val="24"/>
                <w:color w:val="auto"/>
              </w:rPr>
            </w:pPr>
          </w:p>
        </w:tc>
        <w:tc>
          <w:tcPr>
            <w:tcW w:w="258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5210810</wp:posOffset>
            </wp:positionH>
            <wp:positionV relativeFrom="paragraph">
              <wp:posOffset>-1095375</wp:posOffset>
            </wp:positionV>
            <wp:extent cx="5143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6024245</wp:posOffset>
            </wp:positionH>
            <wp:positionV relativeFrom="paragraph">
              <wp:posOffset>-1095375</wp:posOffset>
            </wp:positionV>
            <wp:extent cx="4254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7" w:name="page8"/>
    <w:bookmarkEnd w:id="7"/>
    <w:p>
      <w:pPr>
        <w:ind w:left="360" w:hanging="352"/>
        <w:spacing w:after="0"/>
        <w:tabs>
          <w:tab w:leader="none" w:pos="36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Accumulated Other Comprehensive Loss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accumulated other comprehensive loss are as follows (in millions):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Derivative</w:t>
            </w:r>
          </w:p>
        </w:tc>
        <w:tc>
          <w:tcPr>
            <w:tcW w:w="200" w:type="dxa"/>
            <w:vAlign w:val="bottom"/>
          </w:tcPr>
          <w:p>
            <w:pPr>
              <w:spacing w:after="0"/>
              <w:rPr>
                <w:sz w:val="15"/>
                <w:szCs w:val="15"/>
                <w:color w:val="auto"/>
              </w:rPr>
            </w:pPr>
          </w:p>
        </w:tc>
        <w:tc>
          <w:tcPr>
            <w:tcW w:w="126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Employee</w:t>
            </w: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6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Currency</w:t>
            </w:r>
          </w:p>
        </w:tc>
        <w:tc>
          <w:tcPr>
            <w:tcW w:w="160" w:type="dxa"/>
            <w:vAlign w:val="bottom"/>
          </w:tcPr>
          <w:p>
            <w:pPr>
              <w:spacing w:after="0"/>
              <w:rPr>
                <w:sz w:val="15"/>
                <w:szCs w:val="15"/>
                <w:color w:val="auto"/>
              </w:rPr>
            </w:pPr>
          </w:p>
        </w:tc>
        <w:tc>
          <w:tcPr>
            <w:tcW w:w="132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w w:val="99"/>
              </w:rPr>
              <w:t>Financial</w:t>
            </w:r>
          </w:p>
        </w:tc>
        <w:tc>
          <w:tcPr>
            <w:tcW w:w="200" w:type="dxa"/>
            <w:vAlign w:val="bottom"/>
          </w:tcPr>
          <w:p>
            <w:pPr>
              <w:spacing w:after="0"/>
              <w:rPr>
                <w:sz w:val="15"/>
                <w:szCs w:val="15"/>
                <w:color w:val="auto"/>
              </w:rPr>
            </w:pPr>
          </w:p>
        </w:tc>
        <w:tc>
          <w:tcPr>
            <w:tcW w:w="126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Benefit</w:t>
            </w: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6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w w:val="99"/>
              </w:rPr>
              <w:t>Translation</w:t>
            </w:r>
          </w:p>
        </w:tc>
        <w:tc>
          <w:tcPr>
            <w:tcW w:w="160" w:type="dxa"/>
            <w:vAlign w:val="bottom"/>
          </w:tcPr>
          <w:p>
            <w:pPr>
              <w:spacing w:after="0"/>
              <w:rPr>
                <w:sz w:val="15"/>
                <w:szCs w:val="15"/>
                <w:color w:val="auto"/>
              </w:rPr>
            </w:pPr>
          </w:p>
        </w:tc>
        <w:tc>
          <w:tcPr>
            <w:tcW w:w="132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Instruments,</w:t>
            </w:r>
          </w:p>
        </w:tc>
        <w:tc>
          <w:tcPr>
            <w:tcW w:w="200" w:type="dxa"/>
            <w:vAlign w:val="bottom"/>
          </w:tcPr>
          <w:p>
            <w:pPr>
              <w:spacing w:after="0"/>
              <w:rPr>
                <w:sz w:val="15"/>
                <w:szCs w:val="15"/>
                <w:color w:val="auto"/>
              </w:rPr>
            </w:pPr>
          </w:p>
        </w:tc>
        <w:tc>
          <w:tcPr>
            <w:tcW w:w="126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w w:val="99"/>
              </w:rPr>
              <w:t>Plans,</w:t>
            </w: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54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78"/>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3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Net of Tax</w:t>
            </w:r>
          </w:p>
        </w:tc>
        <w:tc>
          <w:tcPr>
            <w:tcW w:w="2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Net of Tax</w:t>
            </w:r>
          </w:p>
        </w:tc>
        <w:tc>
          <w:tcPr>
            <w:tcW w:w="2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5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(1,432 )</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(5 )</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(56 )</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(1,493 )</w:t>
            </w:r>
          </w:p>
        </w:tc>
        <w:tc>
          <w:tcPr>
            <w:tcW w:w="0" w:type="dxa"/>
            <w:vAlign w:val="bottom"/>
          </w:tcPr>
          <w:p>
            <w:pPr>
              <w:spacing w:after="0"/>
              <w:rPr>
                <w:sz w:val="1"/>
                <w:szCs w:val="1"/>
                <w:color w:val="auto"/>
              </w:rPr>
            </w:pPr>
          </w:p>
        </w:tc>
      </w:tr>
      <w:tr>
        <w:trPr>
          <w:trHeight w:val="211"/>
        </w:trPr>
        <w:tc>
          <w:tcPr>
            <w:tcW w:w="5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Accumulated other comprehensive loss before</w:t>
            </w: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54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reclassifications</w:t>
            </w:r>
          </w:p>
        </w:tc>
        <w:tc>
          <w:tcPr>
            <w:tcW w:w="160" w:type="dxa"/>
            <w:vAlign w:val="bottom"/>
          </w:tcPr>
          <w:p>
            <w:pPr>
              <w:spacing w:after="0"/>
              <w:rPr>
                <w:sz w:val="20"/>
                <w:szCs w:val="20"/>
                <w:color w:val="auto"/>
              </w:rPr>
            </w:pP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(57 )</w:t>
            </w:r>
          </w:p>
        </w:tc>
        <w:tc>
          <w:tcPr>
            <w:tcW w:w="160" w:type="dxa"/>
            <w:vAlign w:val="bottom"/>
          </w:tcPr>
          <w:p>
            <w:pPr>
              <w:spacing w:after="0"/>
              <w:rPr>
                <w:sz w:val="20"/>
                <w:szCs w:val="20"/>
                <w:color w:val="auto"/>
              </w:rPr>
            </w:pPr>
          </w:p>
        </w:tc>
        <w:tc>
          <w:tcPr>
            <w:tcW w:w="13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(1 )</w:t>
            </w:r>
          </w:p>
        </w:tc>
        <w:tc>
          <w:tcPr>
            <w:tcW w:w="280" w:type="dxa"/>
            <w:vAlign w:val="bottom"/>
          </w:tcPr>
          <w:p>
            <w:pPr>
              <w:spacing w:after="0"/>
              <w:rPr>
                <w:sz w:val="20"/>
                <w:szCs w:val="20"/>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(58 )</w:t>
            </w:r>
          </w:p>
        </w:tc>
        <w:tc>
          <w:tcPr>
            <w:tcW w:w="0" w:type="dxa"/>
            <w:vAlign w:val="bottom"/>
          </w:tcPr>
          <w:p>
            <w:pPr>
              <w:spacing w:after="0"/>
              <w:rPr>
                <w:sz w:val="1"/>
                <w:szCs w:val="1"/>
                <w:color w:val="auto"/>
              </w:rPr>
            </w:pPr>
          </w:p>
        </w:tc>
      </w:tr>
      <w:tr>
        <w:trPr>
          <w:trHeight w:val="218"/>
        </w:trPr>
        <w:tc>
          <w:tcPr>
            <w:tcW w:w="54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Amounts reclassified from accumulated other comprehensive</w:t>
            </w:r>
          </w:p>
        </w:tc>
        <w:tc>
          <w:tcPr>
            <w:tcW w:w="160" w:type="dxa"/>
            <w:vAlign w:val="bottom"/>
            <w:shd w:val="clear" w:color="auto" w:fill="CFF0FC"/>
          </w:tcPr>
          <w:p>
            <w:pPr>
              <w:spacing w:after="0"/>
              <w:rPr>
                <w:sz w:val="18"/>
                <w:szCs w:val="18"/>
                <w:color w:val="auto"/>
              </w:rPr>
            </w:pPr>
          </w:p>
        </w:tc>
        <w:tc>
          <w:tcPr>
            <w:tcW w:w="10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vMerge w:val="restart"/>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vMerge w:val="restart"/>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480" w:type="dxa"/>
            <w:vAlign w:val="bottom"/>
            <w:tcBorders>
              <w:bottom w:val="single" w:sz="8" w:color="CFF0FC"/>
            </w:tcBorders>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loss</w:t>
            </w:r>
          </w:p>
        </w:tc>
        <w:tc>
          <w:tcPr>
            <w:tcW w:w="160" w:type="dxa"/>
            <w:vAlign w:val="bottom"/>
            <w:tcBorders>
              <w:bottom w:val="single" w:sz="8" w:color="auto"/>
            </w:tcBorders>
            <w:shd w:val="clear" w:color="auto" w:fill="CFF0FC"/>
          </w:tcPr>
          <w:p>
            <w:pPr>
              <w:spacing w:after="0"/>
              <w:rPr>
                <w:sz w:val="20"/>
                <w:szCs w:val="20"/>
                <w:color w:val="auto"/>
              </w:rPr>
            </w:pPr>
          </w:p>
        </w:tc>
        <w:tc>
          <w:tcPr>
            <w:tcW w:w="1060" w:type="dxa"/>
            <w:vAlign w:val="bottom"/>
            <w:tcBorders>
              <w:bottom w:val="single" w:sz="8" w:color="auto"/>
            </w:tcBorders>
            <w:vMerge w:val="continue"/>
            <w:shd w:val="clear" w:color="auto" w:fill="CFF0FC"/>
          </w:tcPr>
          <w:p>
            <w:pPr>
              <w:spacing w:after="0"/>
              <w:rPr>
                <w:sz w:val="20"/>
                <w:szCs w:val="20"/>
                <w:color w:val="auto"/>
              </w:rPr>
            </w:pPr>
          </w:p>
        </w:tc>
        <w:tc>
          <w:tcPr>
            <w:tcW w:w="300" w:type="dxa"/>
            <w:vAlign w:val="bottom"/>
            <w:tcBorders>
              <w:bottom w:val="single" w:sz="8" w:color="CFF0FC"/>
            </w:tcBorders>
            <w:vMerge w:val="continue"/>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1040" w:type="dxa"/>
            <w:vAlign w:val="bottom"/>
            <w:tcBorders>
              <w:bottom w:val="single" w:sz="8" w:color="auto"/>
            </w:tcBorders>
            <w:vMerge w:val="continue"/>
            <w:shd w:val="clear" w:color="auto" w:fill="CFF0FC"/>
          </w:tcPr>
          <w:p>
            <w:pPr>
              <w:spacing w:after="0"/>
              <w:rPr>
                <w:sz w:val="20"/>
                <w:szCs w:val="20"/>
                <w:color w:val="auto"/>
              </w:rPr>
            </w:pPr>
          </w:p>
        </w:tc>
        <w:tc>
          <w:tcPr>
            <w:tcW w:w="28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1000" w:type="dxa"/>
            <w:vAlign w:val="bottom"/>
            <w:tcBorders>
              <w:bottom w:val="single" w:sz="8" w:color="auto"/>
            </w:tcBorders>
            <w:vMerge w:val="continue"/>
            <w:shd w:val="clear" w:color="auto" w:fill="CFF0FC"/>
          </w:tcPr>
          <w:p>
            <w:pPr>
              <w:spacing w:after="0"/>
              <w:rPr>
                <w:sz w:val="20"/>
                <w:szCs w:val="20"/>
                <w:color w:val="auto"/>
              </w:rPr>
            </w:pPr>
          </w:p>
        </w:tc>
        <w:tc>
          <w:tcPr>
            <w:tcW w:w="260" w:type="dxa"/>
            <w:vAlign w:val="bottom"/>
            <w:tcBorders>
              <w:bottom w:val="single" w:sz="8" w:color="CFF0FC"/>
            </w:tcBorders>
            <w:vMerge w:val="continue"/>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920" w:type="dxa"/>
            <w:vAlign w:val="bottom"/>
            <w:tcBorders>
              <w:bottom w:val="single" w:sz="8" w:color="auto"/>
            </w:tcBorders>
            <w:vMerge w:val="continue"/>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June 30, 2024</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(1,489 )</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(3 )</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(57 )</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(1,549 )</w:t>
            </w: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4251960</wp:posOffset>
            </wp:positionH>
            <wp:positionV relativeFrom="paragraph">
              <wp:posOffset>-187960</wp:posOffset>
            </wp:positionV>
            <wp:extent cx="7683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5210810</wp:posOffset>
            </wp:positionH>
            <wp:positionV relativeFrom="paragraph">
              <wp:posOffset>-187960</wp:posOffset>
            </wp:positionV>
            <wp:extent cx="7683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6144260</wp:posOffset>
            </wp:positionH>
            <wp:positionV relativeFrom="paragraph">
              <wp:posOffset>-187960</wp:posOffset>
            </wp:positionV>
            <wp:extent cx="6858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amounts reclassified from accumulated other comprehensive loss are as follows (in millions):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4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7"/>
          </w:tcPr>
          <w:p>
            <w:pPr>
              <w:jc w:val="center"/>
              <w:ind w:left="218"/>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4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3"/>
          </w:tcPr>
          <w:p>
            <w:pPr>
              <w:jc w:val="right"/>
              <w:ind w:right="22"/>
              <w:spacing w:after="0"/>
              <w:rPr>
                <w:sz w:val="20"/>
                <w:szCs w:val="20"/>
                <w:color w:val="auto"/>
              </w:rPr>
            </w:pPr>
            <w:r>
              <w:rPr>
                <w:rFonts w:ascii="Times New Roman" w:cs="Times New Roman" w:eastAsia="Times New Roman" w:hAnsi="Times New Roman"/>
                <w:sz w:val="14"/>
                <w:szCs w:val="14"/>
                <w:b w:val="1"/>
                <w:bCs w:val="1"/>
                <w:color w:val="auto"/>
              </w:rPr>
              <w:t>2023</w:t>
            </w:r>
          </w:p>
        </w:tc>
        <w:tc>
          <w:tcPr>
            <w:tcW w:w="6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2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jc w:val="center"/>
              <w:ind w:left="144"/>
              <w:spacing w:after="0" w:line="157"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gridSpan w:val="2"/>
          </w:tcPr>
          <w:p>
            <w:pPr>
              <w:jc w:val="center"/>
              <w:spacing w:after="0" w:line="157" w:lineRule="exact"/>
              <w:rPr>
                <w:sz w:val="20"/>
                <w:szCs w:val="20"/>
                <w:color w:val="auto"/>
              </w:rPr>
            </w:pPr>
            <w:r>
              <w:rPr>
                <w:rFonts w:ascii="Times New Roman" w:cs="Times New Roman" w:eastAsia="Times New Roman" w:hAnsi="Times New Roman"/>
                <w:sz w:val="14"/>
                <w:szCs w:val="14"/>
                <w:b w:val="1"/>
                <w:bCs w:val="1"/>
                <w:color w:val="auto"/>
              </w:rPr>
              <w:t>Derivative</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jc w:val="center"/>
              <w:ind w:right="38"/>
              <w:spacing w:after="0" w:line="157" w:lineRule="exact"/>
              <w:rPr>
                <w:sz w:val="20"/>
                <w:szCs w:val="20"/>
                <w:color w:val="auto"/>
              </w:rPr>
            </w:pPr>
            <w:r>
              <w:rPr>
                <w:rFonts w:ascii="Times New Roman" w:cs="Times New Roman" w:eastAsia="Times New Roman" w:hAnsi="Times New Roman"/>
                <w:sz w:val="14"/>
                <w:szCs w:val="14"/>
                <w:b w:val="1"/>
                <w:bCs w:val="1"/>
                <w:color w:val="auto"/>
              </w:rPr>
              <w:t>Employee</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center"/>
              <w:ind w:right="13"/>
              <w:spacing w:after="0" w:line="157"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220" w:type="dxa"/>
            <w:vAlign w:val="bottom"/>
          </w:tcPr>
          <w:p>
            <w:pPr>
              <w:spacing w:after="0"/>
              <w:rPr>
                <w:sz w:val="13"/>
                <w:szCs w:val="13"/>
                <w:color w:val="auto"/>
              </w:rPr>
            </w:pPr>
          </w:p>
        </w:tc>
        <w:tc>
          <w:tcPr>
            <w:tcW w:w="800" w:type="dxa"/>
            <w:vAlign w:val="bottom"/>
            <w:gridSpan w:val="2"/>
          </w:tcPr>
          <w:p>
            <w:pPr>
              <w:jc w:val="center"/>
              <w:spacing w:after="0" w:line="157" w:lineRule="exact"/>
              <w:rPr>
                <w:sz w:val="20"/>
                <w:szCs w:val="20"/>
                <w:color w:val="auto"/>
              </w:rPr>
            </w:pPr>
            <w:r>
              <w:rPr>
                <w:rFonts w:ascii="Times New Roman" w:cs="Times New Roman" w:eastAsia="Times New Roman" w:hAnsi="Times New Roman"/>
                <w:sz w:val="14"/>
                <w:szCs w:val="14"/>
                <w:b w:val="1"/>
                <w:bCs w:val="1"/>
                <w:color w:val="auto"/>
              </w:rPr>
              <w:t>Derivative</w:t>
            </w:r>
          </w:p>
        </w:tc>
        <w:tc>
          <w:tcPr>
            <w:tcW w:w="220" w:type="dxa"/>
            <w:vAlign w:val="bottom"/>
          </w:tcPr>
          <w:p>
            <w:pPr>
              <w:spacing w:after="0"/>
              <w:rPr>
                <w:sz w:val="13"/>
                <w:szCs w:val="13"/>
                <w:color w:val="auto"/>
              </w:rPr>
            </w:pPr>
          </w:p>
        </w:tc>
        <w:tc>
          <w:tcPr>
            <w:tcW w:w="820" w:type="dxa"/>
            <w:vAlign w:val="bottom"/>
            <w:gridSpan w:val="2"/>
          </w:tcPr>
          <w:p>
            <w:pPr>
              <w:jc w:val="center"/>
              <w:spacing w:after="0" w:line="157" w:lineRule="exact"/>
              <w:rPr>
                <w:sz w:val="20"/>
                <w:szCs w:val="20"/>
                <w:color w:val="auto"/>
              </w:rPr>
            </w:pPr>
            <w:r>
              <w:rPr>
                <w:rFonts w:ascii="Times New Roman" w:cs="Times New Roman" w:eastAsia="Times New Roman" w:hAnsi="Times New Roman"/>
                <w:sz w:val="14"/>
                <w:szCs w:val="14"/>
                <w:b w:val="1"/>
                <w:bCs w:val="1"/>
                <w:color w:val="auto"/>
              </w:rPr>
              <w:t>Employee</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2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jc w:val="center"/>
              <w:ind w:left="124"/>
              <w:spacing w:after="0"/>
              <w:rPr>
                <w:sz w:val="20"/>
                <w:szCs w:val="20"/>
                <w:color w:val="auto"/>
              </w:rPr>
            </w:pPr>
            <w:r>
              <w:rPr>
                <w:rFonts w:ascii="Times New Roman" w:cs="Times New Roman" w:eastAsia="Times New Roman" w:hAnsi="Times New Roman"/>
                <w:sz w:val="14"/>
                <w:szCs w:val="14"/>
                <w:b w:val="1"/>
                <w:bCs w:val="1"/>
                <w:color w:val="auto"/>
              </w:rPr>
              <w:t>Translation</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Financial</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rPr>
              <w:t>Benefit</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Translation</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rPr>
              <w:t>Financial</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w w:val="98"/>
              </w:rPr>
              <w:t>Benefit</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2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Borders>
              <w:bottom w:val="single" w:sz="8" w:color="auto"/>
            </w:tcBorders>
          </w:tcPr>
          <w:p>
            <w:pPr>
              <w:jc w:val="center"/>
              <w:ind w:left="144"/>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22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Instruments</w:t>
            </w:r>
          </w:p>
        </w:tc>
        <w:tc>
          <w:tcPr>
            <w:tcW w:w="2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center"/>
              <w:ind w:right="18"/>
              <w:spacing w:after="0"/>
              <w:rPr>
                <w:sz w:val="20"/>
                <w:szCs w:val="20"/>
                <w:color w:val="auto"/>
              </w:rPr>
            </w:pPr>
            <w:r>
              <w:rPr>
                <w:rFonts w:ascii="Times New Roman" w:cs="Times New Roman" w:eastAsia="Times New Roman" w:hAnsi="Times New Roman"/>
                <w:sz w:val="14"/>
                <w:szCs w:val="14"/>
                <w:b w:val="1"/>
                <w:bCs w:val="1"/>
                <w:color w:val="auto"/>
              </w:rPr>
              <w:t>Plans</w:t>
            </w:r>
          </w:p>
        </w:tc>
        <w:tc>
          <w:tcPr>
            <w:tcW w:w="2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20" w:type="dxa"/>
            <w:vAlign w:val="bottom"/>
          </w:tcPr>
          <w:p>
            <w:pPr>
              <w:spacing w:after="0"/>
              <w:rPr>
                <w:sz w:val="16"/>
                <w:szCs w:val="16"/>
                <w:color w:val="auto"/>
              </w:rPr>
            </w:pPr>
          </w:p>
        </w:tc>
        <w:tc>
          <w:tcPr>
            <w:tcW w:w="8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220" w:type="dxa"/>
            <w:vAlign w:val="bottom"/>
          </w:tcPr>
          <w:p>
            <w:pPr>
              <w:spacing w:after="0"/>
              <w:rPr>
                <w:sz w:val="16"/>
                <w:szCs w:val="16"/>
                <w:color w:val="auto"/>
              </w:rPr>
            </w:pPr>
          </w:p>
        </w:tc>
        <w:tc>
          <w:tcPr>
            <w:tcW w:w="8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Instruments</w:t>
            </w:r>
          </w:p>
        </w:tc>
        <w:tc>
          <w:tcPr>
            <w:tcW w:w="2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Plans</w:t>
            </w:r>
          </w:p>
        </w:tc>
        <w:tc>
          <w:tcPr>
            <w:tcW w:w="2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2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160" w:type="dxa"/>
            <w:vAlign w:val="bottom"/>
            <w:gridSpan w:val="2"/>
            <w:shd w:val="clear" w:color="auto" w:fill="CFF0FC"/>
          </w:tcPr>
          <w:p>
            <w:pPr>
              <w:jc w:val="right"/>
              <w:ind w:right="864"/>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w w:val="99"/>
              </w:rPr>
              <w:t>—</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ind w:left="520"/>
              <w:spacing w:after="0"/>
              <w:rPr>
                <w:sz w:val="20"/>
                <w:szCs w:val="20"/>
                <w:color w:val="auto"/>
              </w:rPr>
            </w:pPr>
            <w:r>
              <w:rPr>
                <w:rFonts w:ascii="Times New Roman" w:cs="Times New Roman" w:eastAsia="Times New Roman" w:hAnsi="Times New Roman"/>
                <w:sz w:val="18"/>
                <w:szCs w:val="18"/>
                <w:color w:val="auto"/>
                <w:w w:val="99"/>
              </w:rPr>
              <w:t>—</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2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ind w:left="52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2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expense</w:t>
            </w:r>
          </w:p>
        </w:tc>
        <w:tc>
          <w:tcPr>
            <w:tcW w:w="12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720" w:type="dxa"/>
            <w:vAlign w:val="bottom"/>
            <w:shd w:val="clear" w:color="auto" w:fill="CFF0FC"/>
          </w:tcPr>
          <w:p>
            <w:pPr>
              <w:ind w:left="52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7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1"/>
        </w:trPr>
        <w:tc>
          <w:tcPr>
            <w:tcW w:w="2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vMerge w:val="restart"/>
          </w:tcPr>
          <w:p>
            <w:pPr>
              <w:ind w:left="52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administrative</w:t>
            </w:r>
          </w:p>
        </w:tc>
        <w:tc>
          <w:tcPr>
            <w:tcW w:w="12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vMerge w:val="continue"/>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vMerge w:val="continue"/>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vMerge w:val="continue"/>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vMerge w:val="continue"/>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vMerge w:val="continue"/>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vMerge w:val="continue"/>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vMerge w:val="continue"/>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vMerge w:val="continue"/>
          </w:tcPr>
          <w:p>
            <w:pPr>
              <w:spacing w:after="0"/>
              <w:rPr>
                <w:sz w:val="20"/>
                <w:szCs w:val="20"/>
                <w:color w:val="auto"/>
              </w:rPr>
            </w:pPr>
          </w:p>
        </w:tc>
        <w:tc>
          <w:tcPr>
            <w:tcW w:w="1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24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40" w:type="dxa"/>
            <w:vAlign w:val="bottom"/>
            <w:shd w:val="clear" w:color="auto" w:fill="CFF0FC"/>
          </w:tcPr>
          <w:p>
            <w:pPr>
              <w:jc w:val="right"/>
              <w:ind w:right="864"/>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10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100" w:type="dxa"/>
            <w:vAlign w:val="bottom"/>
            <w:gridSpan w:val="3"/>
            <w:shd w:val="clear" w:color="auto" w:fill="CFF0FC"/>
          </w:tcPr>
          <w:p>
            <w:pPr>
              <w:ind w:left="520"/>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4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3"/>
        </w:trPr>
        <w:tc>
          <w:tcPr>
            <w:tcW w:w="24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7"/>
          </w:tcPr>
          <w:p>
            <w:pPr>
              <w:jc w:val="center"/>
              <w:ind w:left="198"/>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4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3"/>
          </w:tcPr>
          <w:p>
            <w:pPr>
              <w:jc w:val="right"/>
              <w:ind w:right="22"/>
              <w:spacing w:after="0"/>
              <w:rPr>
                <w:sz w:val="20"/>
                <w:szCs w:val="20"/>
                <w:color w:val="auto"/>
              </w:rPr>
            </w:pPr>
            <w:r>
              <w:rPr>
                <w:rFonts w:ascii="Times New Roman" w:cs="Times New Roman" w:eastAsia="Times New Roman" w:hAnsi="Times New Roman"/>
                <w:sz w:val="14"/>
                <w:szCs w:val="14"/>
                <w:b w:val="1"/>
                <w:bCs w:val="1"/>
                <w:color w:val="auto"/>
              </w:rPr>
              <w:t>2023</w:t>
            </w:r>
          </w:p>
        </w:tc>
        <w:tc>
          <w:tcPr>
            <w:tcW w:w="6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2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jc w:val="center"/>
              <w:ind w:left="144"/>
              <w:spacing w:after="0" w:line="157"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gridSpan w:val="2"/>
          </w:tcPr>
          <w:p>
            <w:pPr>
              <w:jc w:val="center"/>
              <w:spacing w:after="0" w:line="157" w:lineRule="exact"/>
              <w:rPr>
                <w:sz w:val="20"/>
                <w:szCs w:val="20"/>
                <w:color w:val="auto"/>
              </w:rPr>
            </w:pPr>
            <w:r>
              <w:rPr>
                <w:rFonts w:ascii="Times New Roman" w:cs="Times New Roman" w:eastAsia="Times New Roman" w:hAnsi="Times New Roman"/>
                <w:sz w:val="14"/>
                <w:szCs w:val="14"/>
                <w:b w:val="1"/>
                <w:bCs w:val="1"/>
                <w:color w:val="auto"/>
              </w:rPr>
              <w:t>Derivative</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jc w:val="center"/>
              <w:ind w:right="38"/>
              <w:spacing w:after="0" w:line="157" w:lineRule="exact"/>
              <w:rPr>
                <w:sz w:val="20"/>
                <w:szCs w:val="20"/>
                <w:color w:val="auto"/>
              </w:rPr>
            </w:pPr>
            <w:r>
              <w:rPr>
                <w:rFonts w:ascii="Times New Roman" w:cs="Times New Roman" w:eastAsia="Times New Roman" w:hAnsi="Times New Roman"/>
                <w:sz w:val="14"/>
                <w:szCs w:val="14"/>
                <w:b w:val="1"/>
                <w:bCs w:val="1"/>
                <w:color w:val="auto"/>
              </w:rPr>
              <w:t>Employee</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center"/>
              <w:ind w:right="13"/>
              <w:spacing w:after="0" w:line="157"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220" w:type="dxa"/>
            <w:vAlign w:val="bottom"/>
          </w:tcPr>
          <w:p>
            <w:pPr>
              <w:spacing w:after="0"/>
              <w:rPr>
                <w:sz w:val="13"/>
                <w:szCs w:val="13"/>
                <w:color w:val="auto"/>
              </w:rPr>
            </w:pPr>
          </w:p>
        </w:tc>
        <w:tc>
          <w:tcPr>
            <w:tcW w:w="800" w:type="dxa"/>
            <w:vAlign w:val="bottom"/>
            <w:gridSpan w:val="2"/>
          </w:tcPr>
          <w:p>
            <w:pPr>
              <w:jc w:val="center"/>
              <w:spacing w:after="0" w:line="157" w:lineRule="exact"/>
              <w:rPr>
                <w:sz w:val="20"/>
                <w:szCs w:val="20"/>
                <w:color w:val="auto"/>
              </w:rPr>
            </w:pPr>
            <w:r>
              <w:rPr>
                <w:rFonts w:ascii="Times New Roman" w:cs="Times New Roman" w:eastAsia="Times New Roman" w:hAnsi="Times New Roman"/>
                <w:sz w:val="14"/>
                <w:szCs w:val="14"/>
                <w:b w:val="1"/>
                <w:bCs w:val="1"/>
                <w:color w:val="auto"/>
              </w:rPr>
              <w:t>Derivative</w:t>
            </w:r>
          </w:p>
        </w:tc>
        <w:tc>
          <w:tcPr>
            <w:tcW w:w="220" w:type="dxa"/>
            <w:vAlign w:val="bottom"/>
          </w:tcPr>
          <w:p>
            <w:pPr>
              <w:spacing w:after="0"/>
              <w:rPr>
                <w:sz w:val="13"/>
                <w:szCs w:val="13"/>
                <w:color w:val="auto"/>
              </w:rPr>
            </w:pPr>
          </w:p>
        </w:tc>
        <w:tc>
          <w:tcPr>
            <w:tcW w:w="820" w:type="dxa"/>
            <w:vAlign w:val="bottom"/>
            <w:gridSpan w:val="2"/>
          </w:tcPr>
          <w:p>
            <w:pPr>
              <w:jc w:val="center"/>
              <w:spacing w:after="0" w:line="157" w:lineRule="exact"/>
              <w:rPr>
                <w:sz w:val="20"/>
                <w:szCs w:val="20"/>
                <w:color w:val="auto"/>
              </w:rPr>
            </w:pPr>
            <w:r>
              <w:rPr>
                <w:rFonts w:ascii="Times New Roman" w:cs="Times New Roman" w:eastAsia="Times New Roman" w:hAnsi="Times New Roman"/>
                <w:sz w:val="14"/>
                <w:szCs w:val="14"/>
                <w:b w:val="1"/>
                <w:bCs w:val="1"/>
                <w:color w:val="auto"/>
              </w:rPr>
              <w:t>Employee</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2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jc w:val="center"/>
              <w:ind w:left="124"/>
              <w:spacing w:after="0"/>
              <w:rPr>
                <w:sz w:val="20"/>
                <w:szCs w:val="20"/>
                <w:color w:val="auto"/>
              </w:rPr>
            </w:pPr>
            <w:r>
              <w:rPr>
                <w:rFonts w:ascii="Times New Roman" w:cs="Times New Roman" w:eastAsia="Times New Roman" w:hAnsi="Times New Roman"/>
                <w:sz w:val="14"/>
                <w:szCs w:val="14"/>
                <w:b w:val="1"/>
                <w:bCs w:val="1"/>
                <w:color w:val="auto"/>
              </w:rPr>
              <w:t>Translation</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Financial</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rPr>
              <w:t>Benefit</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Translation</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rPr>
              <w:t>Financial</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w w:val="98"/>
              </w:rPr>
              <w:t>Benefit</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2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center"/>
              <w:ind w:left="144"/>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Instruments</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center"/>
              <w:ind w:right="18"/>
              <w:spacing w:after="0"/>
              <w:rPr>
                <w:sz w:val="20"/>
                <w:szCs w:val="20"/>
                <w:color w:val="auto"/>
              </w:rPr>
            </w:pPr>
            <w:r>
              <w:rPr>
                <w:rFonts w:ascii="Times New Roman" w:cs="Times New Roman" w:eastAsia="Times New Roman" w:hAnsi="Times New Roman"/>
                <w:sz w:val="14"/>
                <w:szCs w:val="14"/>
                <w:b w:val="1"/>
                <w:bCs w:val="1"/>
                <w:color w:val="auto"/>
              </w:rPr>
              <w:t>Plans</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20" w:type="dxa"/>
            <w:vAlign w:val="bottom"/>
          </w:tcPr>
          <w:p>
            <w:pPr>
              <w:spacing w:after="0"/>
              <w:rPr>
                <w:sz w:val="16"/>
                <w:szCs w:val="16"/>
                <w:color w:val="auto"/>
              </w:rPr>
            </w:pPr>
          </w:p>
        </w:tc>
        <w:tc>
          <w:tcPr>
            <w:tcW w:w="8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220" w:type="dxa"/>
            <w:vAlign w:val="bottom"/>
          </w:tcPr>
          <w:p>
            <w:pPr>
              <w:spacing w:after="0"/>
              <w:rPr>
                <w:sz w:val="16"/>
                <w:szCs w:val="16"/>
                <w:color w:val="auto"/>
              </w:rPr>
            </w:pPr>
          </w:p>
        </w:tc>
        <w:tc>
          <w:tcPr>
            <w:tcW w:w="8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Instruments</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Plans</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32"/>
        </w:trPr>
        <w:tc>
          <w:tcPr>
            <w:tcW w:w="2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20" w:type="dxa"/>
            <w:vAlign w:val="bottom"/>
          </w:tcPr>
          <w:p>
            <w:pPr>
              <w:spacing w:after="0"/>
              <w:rPr>
                <w:sz w:val="20"/>
                <w:szCs w:val="20"/>
                <w:color w:val="auto"/>
              </w:rPr>
            </w:pPr>
          </w:p>
        </w:tc>
        <w:tc>
          <w:tcPr>
            <w:tcW w:w="1040" w:type="dxa"/>
            <w:vAlign w:val="bottom"/>
            <w:tcBorders>
              <w:top w:val="single" w:sz="8" w:color="auto"/>
            </w:tcBorders>
          </w:tcPr>
          <w:p>
            <w:pPr>
              <w:jc w:val="right"/>
              <w:ind w:right="864"/>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tcPr>
          <w:p>
            <w:pPr>
              <w:spacing w:after="0"/>
              <w:rPr>
                <w:sz w:val="20"/>
                <w:szCs w:val="20"/>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2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12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720" w:type="dxa"/>
            <w:vAlign w:val="bottom"/>
            <w:shd w:val="clear" w:color="auto" w:fill="CFF0FC"/>
          </w:tcPr>
          <w:p>
            <w:pPr>
              <w:ind w:left="52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2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expense</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ind w:left="52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Selling, general and</w:t>
            </w: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20" w:type="dxa"/>
            <w:vAlign w:val="bottom"/>
            <w:vMerge w:val="restart"/>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20" w:type="dxa"/>
            <w:vAlign w:val="bottom"/>
            <w:vMerge w:val="restart"/>
            <w:shd w:val="clear" w:color="auto" w:fill="CFF0FC"/>
          </w:tcPr>
          <w:p>
            <w:pPr>
              <w:ind w:left="52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4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administrative</w:t>
            </w:r>
          </w:p>
        </w:tc>
        <w:tc>
          <w:tcPr>
            <w:tcW w:w="120" w:type="dxa"/>
            <w:vAlign w:val="bottom"/>
            <w:tcBorders>
              <w:bottom w:val="single" w:sz="8" w:color="CFF0FC"/>
            </w:tcBorders>
            <w:shd w:val="clear" w:color="auto" w:fill="CFF0FC"/>
          </w:tcPr>
          <w:p>
            <w:pPr>
              <w:spacing w:after="0"/>
              <w:rPr>
                <w:sz w:val="20"/>
                <w:szCs w:val="20"/>
                <w:color w:val="auto"/>
              </w:rPr>
            </w:pPr>
          </w:p>
        </w:tc>
        <w:tc>
          <w:tcPr>
            <w:tcW w:w="1040" w:type="dxa"/>
            <w:vAlign w:val="bottom"/>
            <w:tcBorders>
              <w:bottom w:val="single" w:sz="8" w:color="auto"/>
            </w:tcBorders>
            <w:shd w:val="clear" w:color="auto" w:fill="CFF0FC"/>
          </w:tcPr>
          <w:p>
            <w:pPr>
              <w:spacing w:after="0"/>
              <w:rPr>
                <w:sz w:val="20"/>
                <w:szCs w:val="20"/>
                <w:color w:val="auto"/>
              </w:rPr>
            </w:pPr>
          </w:p>
        </w:tc>
        <w:tc>
          <w:tcPr>
            <w:tcW w:w="220" w:type="dxa"/>
            <w:vAlign w:val="bottom"/>
            <w:tcBorders>
              <w:bottom w:val="single" w:sz="8" w:color="auto"/>
            </w:tcBorders>
            <w:vMerge w:val="continue"/>
            <w:shd w:val="clear" w:color="auto" w:fill="CFF0FC"/>
          </w:tcPr>
          <w:p>
            <w:pPr>
              <w:spacing w:after="0"/>
              <w:rPr>
                <w:sz w:val="20"/>
                <w:szCs w:val="20"/>
                <w:color w:val="auto"/>
              </w:rPr>
            </w:pPr>
          </w:p>
        </w:tc>
        <w:tc>
          <w:tcPr>
            <w:tcW w:w="24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700" w:type="dxa"/>
            <w:vAlign w:val="bottom"/>
            <w:tcBorders>
              <w:bottom w:val="single" w:sz="8" w:color="auto"/>
            </w:tcBorders>
            <w:vMerge w:val="continue"/>
            <w:shd w:val="clear" w:color="auto" w:fill="CFF0FC"/>
          </w:tcPr>
          <w:p>
            <w:pPr>
              <w:spacing w:after="0"/>
              <w:rPr>
                <w:sz w:val="20"/>
                <w:szCs w:val="20"/>
                <w:color w:val="auto"/>
              </w:rPr>
            </w:pPr>
          </w:p>
        </w:tc>
        <w:tc>
          <w:tcPr>
            <w:tcW w:w="26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720" w:type="dxa"/>
            <w:vAlign w:val="bottom"/>
            <w:tcBorders>
              <w:bottom w:val="single" w:sz="8" w:color="auto"/>
            </w:tcBorders>
            <w:vMerge w:val="continue"/>
            <w:shd w:val="clear" w:color="auto" w:fill="CFF0FC"/>
          </w:tcPr>
          <w:p>
            <w:pPr>
              <w:spacing w:after="0"/>
              <w:rPr>
                <w:sz w:val="20"/>
                <w:szCs w:val="20"/>
                <w:color w:val="auto"/>
              </w:rPr>
            </w:pPr>
          </w:p>
        </w:tc>
        <w:tc>
          <w:tcPr>
            <w:tcW w:w="22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640" w:type="dxa"/>
            <w:vAlign w:val="bottom"/>
            <w:tcBorders>
              <w:bottom w:val="single" w:sz="8" w:color="auto"/>
            </w:tcBorders>
            <w:vMerge w:val="continue"/>
            <w:shd w:val="clear" w:color="auto" w:fill="CFF0FC"/>
          </w:tcPr>
          <w:p>
            <w:pPr>
              <w:spacing w:after="0"/>
              <w:rPr>
                <w:sz w:val="20"/>
                <w:szCs w:val="20"/>
                <w:color w:val="auto"/>
              </w:rPr>
            </w:pPr>
          </w:p>
        </w:tc>
        <w:tc>
          <w:tcPr>
            <w:tcW w:w="22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700" w:type="dxa"/>
            <w:vAlign w:val="bottom"/>
            <w:tcBorders>
              <w:bottom w:val="single" w:sz="8" w:color="auto"/>
            </w:tcBorders>
            <w:vMerge w:val="continue"/>
            <w:shd w:val="clear" w:color="auto" w:fill="CFF0FC"/>
          </w:tcPr>
          <w:p>
            <w:pPr>
              <w:spacing w:after="0"/>
              <w:rPr>
                <w:sz w:val="20"/>
                <w:szCs w:val="20"/>
                <w:color w:val="auto"/>
              </w:rPr>
            </w:pPr>
          </w:p>
        </w:tc>
        <w:tc>
          <w:tcPr>
            <w:tcW w:w="22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680" w:type="dxa"/>
            <w:vAlign w:val="bottom"/>
            <w:tcBorders>
              <w:bottom w:val="single" w:sz="8" w:color="auto"/>
            </w:tcBorders>
            <w:vMerge w:val="continue"/>
            <w:shd w:val="clear" w:color="auto" w:fill="CFF0FC"/>
          </w:tcPr>
          <w:p>
            <w:pPr>
              <w:spacing w:after="0"/>
              <w:rPr>
                <w:sz w:val="20"/>
                <w:szCs w:val="20"/>
                <w:color w:val="auto"/>
              </w:rPr>
            </w:pPr>
          </w:p>
        </w:tc>
        <w:tc>
          <w:tcPr>
            <w:tcW w:w="22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680" w:type="dxa"/>
            <w:vAlign w:val="bottom"/>
            <w:tcBorders>
              <w:bottom w:val="single" w:sz="8" w:color="auto"/>
            </w:tcBorders>
            <w:vMerge w:val="continue"/>
            <w:shd w:val="clear" w:color="auto" w:fill="CFF0FC"/>
          </w:tcPr>
          <w:p>
            <w:pPr>
              <w:spacing w:after="0"/>
              <w:rPr>
                <w:sz w:val="20"/>
                <w:szCs w:val="20"/>
                <w:color w:val="auto"/>
              </w:rPr>
            </w:pPr>
          </w:p>
        </w:tc>
        <w:tc>
          <w:tcPr>
            <w:tcW w:w="20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660" w:type="dxa"/>
            <w:vAlign w:val="bottom"/>
            <w:tcBorders>
              <w:bottom w:val="single" w:sz="8" w:color="auto"/>
            </w:tcBorders>
            <w:vMerge w:val="continue"/>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2480" w:type="dxa"/>
            <w:vAlign w:val="bottom"/>
          </w:tcPr>
          <w:p>
            <w:pPr>
              <w:spacing w:after="0"/>
              <w:rPr>
                <w:sz w:val="20"/>
                <w:szCs w:val="20"/>
                <w:color w:val="auto"/>
              </w:rPr>
            </w:pPr>
          </w:p>
        </w:tc>
        <w:tc>
          <w:tcPr>
            <w:tcW w:w="1160" w:type="dxa"/>
            <w:vAlign w:val="bottom"/>
            <w:gridSpan w:val="2"/>
          </w:tcPr>
          <w:p>
            <w:pPr>
              <w:jc w:val="right"/>
              <w:ind w:right="864"/>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3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2445385</wp:posOffset>
            </wp:positionH>
            <wp:positionV relativeFrom="paragraph">
              <wp:posOffset>-1694815</wp:posOffset>
            </wp:positionV>
            <wp:extent cx="7683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2445385</wp:posOffset>
            </wp:positionH>
            <wp:positionV relativeFrom="paragraph">
              <wp:posOffset>-1677670</wp:posOffset>
            </wp:positionV>
            <wp:extent cx="7683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3130550</wp:posOffset>
            </wp:positionH>
            <wp:positionV relativeFrom="paragraph">
              <wp:posOffset>-1694815</wp:posOffset>
            </wp:positionV>
            <wp:extent cx="7683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3130550</wp:posOffset>
            </wp:positionH>
            <wp:positionV relativeFrom="paragraph">
              <wp:posOffset>-1677670</wp:posOffset>
            </wp:positionV>
            <wp:extent cx="7683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3806825</wp:posOffset>
            </wp:positionH>
            <wp:positionV relativeFrom="paragraph">
              <wp:posOffset>-1694815</wp:posOffset>
            </wp:positionV>
            <wp:extent cx="6858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3806825</wp:posOffset>
            </wp:positionH>
            <wp:positionV relativeFrom="paragraph">
              <wp:posOffset>-1677670</wp:posOffset>
            </wp:positionV>
            <wp:extent cx="6858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4457700</wp:posOffset>
            </wp:positionH>
            <wp:positionV relativeFrom="paragraph">
              <wp:posOffset>-1694815</wp:posOffset>
            </wp:positionV>
            <wp:extent cx="6858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4457700</wp:posOffset>
            </wp:positionH>
            <wp:positionV relativeFrom="paragraph">
              <wp:posOffset>-1677670</wp:posOffset>
            </wp:positionV>
            <wp:extent cx="6858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5107940</wp:posOffset>
            </wp:positionH>
            <wp:positionV relativeFrom="paragraph">
              <wp:posOffset>-1694815</wp:posOffset>
            </wp:positionV>
            <wp:extent cx="6858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5107940</wp:posOffset>
            </wp:positionH>
            <wp:positionV relativeFrom="paragraph">
              <wp:posOffset>-1677670</wp:posOffset>
            </wp:positionV>
            <wp:extent cx="6858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5758815</wp:posOffset>
            </wp:positionH>
            <wp:positionV relativeFrom="paragraph">
              <wp:posOffset>-1694815</wp:posOffset>
            </wp:positionV>
            <wp:extent cx="6858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5758815</wp:posOffset>
            </wp:positionH>
            <wp:positionV relativeFrom="paragraph">
              <wp:posOffset>-1677670</wp:posOffset>
            </wp:positionV>
            <wp:extent cx="6858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6409690</wp:posOffset>
            </wp:positionH>
            <wp:positionV relativeFrom="paragraph">
              <wp:posOffset>-1694815</wp:posOffset>
            </wp:positionV>
            <wp:extent cx="6858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6409690</wp:posOffset>
            </wp:positionH>
            <wp:positionV relativeFrom="paragraph">
              <wp:posOffset>-1677670</wp:posOffset>
            </wp:positionV>
            <wp:extent cx="6858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-1694815</wp:posOffset>
            </wp:positionV>
            <wp:extent cx="685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-1677670</wp:posOffset>
            </wp:positionV>
            <wp:extent cx="6858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2445385</wp:posOffset>
            </wp:positionH>
            <wp:positionV relativeFrom="paragraph">
              <wp:posOffset>-187960</wp:posOffset>
            </wp:positionV>
            <wp:extent cx="7683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3130550</wp:posOffset>
            </wp:positionH>
            <wp:positionV relativeFrom="paragraph">
              <wp:posOffset>-187960</wp:posOffset>
            </wp:positionV>
            <wp:extent cx="7683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3806825</wp:posOffset>
            </wp:positionH>
            <wp:positionV relativeFrom="paragraph">
              <wp:posOffset>-187960</wp:posOffset>
            </wp:positionV>
            <wp:extent cx="6858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4457700</wp:posOffset>
            </wp:positionH>
            <wp:positionV relativeFrom="paragraph">
              <wp:posOffset>-187960</wp:posOffset>
            </wp:positionV>
            <wp:extent cx="6858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5107940</wp:posOffset>
            </wp:positionH>
            <wp:positionV relativeFrom="paragraph">
              <wp:posOffset>-187960</wp:posOffset>
            </wp:positionV>
            <wp:extent cx="6858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5758815</wp:posOffset>
            </wp:positionH>
            <wp:positionV relativeFrom="paragraph">
              <wp:posOffset>-187960</wp:posOffset>
            </wp:positionV>
            <wp:extent cx="6858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6409690</wp:posOffset>
            </wp:positionH>
            <wp:positionV relativeFrom="paragraph">
              <wp:posOffset>-187960</wp:posOffset>
            </wp:positionV>
            <wp:extent cx="6858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4"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8"/>
          <w:szCs w:val="18"/>
          <w:color w:val="auto"/>
        </w:rPr>
        <w:t>The Company’s reporting currency is the U.S. dollar. A majority of the Company’s international entities in which there is a substantial investment have the local currency as their functional currency. As a result, currency translation adjustments resulting from the process of translating the entities’ financial statements into the reporting currency are reported in other comprehensive income (loss).</w:t>
      </w:r>
    </w:p>
    <w:p>
      <w:pPr>
        <w:spacing w:after="0" w:line="17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effect of changes in the fair values of derivatives designated as cash flow hedges are accumulated in other comprehensive income (loss), net of tax, until the underlying transactions are realized. The movement in other comprehensive income (loss) from period to period will be the combination of: 1) changes in fair value of open derivatives of $2 million and zero during the three and six months ended June 30, 2024; and, 2) the outflow of other comprehensive loss related to cumulative changes in the fair value of derivatives that have settled in the current period, which were zero and $2 million the three and six months ended June 30, 2024.</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8" w:name="page9"/>
    <w:bookmarkEnd w:id="8"/>
    <w:p>
      <w:pPr>
        <w:ind w:left="360" w:hanging="352"/>
        <w:spacing w:after="0"/>
        <w:tabs>
          <w:tab w:leader="none" w:pos="36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Segments</w:t>
      </w:r>
    </w:p>
    <w:p>
      <w:pPr>
        <w:spacing w:after="0" w:line="121"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Effective January 1, 2024, NOV consolidated its reporting structure into two segments: Energy Products and Services, and Energy Equipment. Segment disclosures pertaining to prior periods have been restated to reflect the change in reportable segments.</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results by operating segment are as follows (in millions):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840" w:type="dxa"/>
            <w:vAlign w:val="bottom"/>
          </w:tcPr>
          <w:p>
            <w:pPr>
              <w:spacing w:after="0"/>
              <w:rPr>
                <w:sz w:val="15"/>
                <w:szCs w:val="15"/>
                <w:color w:val="auto"/>
              </w:rPr>
            </w:pPr>
          </w:p>
        </w:tc>
        <w:tc>
          <w:tcPr>
            <w:tcW w:w="2140" w:type="dxa"/>
            <w:vAlign w:val="bottom"/>
            <w:gridSpan w:val="4"/>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340" w:type="dxa"/>
            <w:vAlign w:val="bottom"/>
            <w:gridSpan w:val="5"/>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87"/>
        </w:trPr>
        <w:tc>
          <w:tcPr>
            <w:tcW w:w="584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2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5840" w:type="dxa"/>
            <w:vAlign w:val="bottom"/>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2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236"/>
        </w:trPr>
        <w:tc>
          <w:tcPr>
            <w:tcW w:w="5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74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8"/>
        </w:trPr>
        <w:tc>
          <w:tcPr>
            <w:tcW w:w="5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Energy Products and Services</w:t>
            </w:r>
          </w:p>
        </w:tc>
        <w:tc>
          <w:tcPr>
            <w:tcW w:w="740" w:type="dxa"/>
            <w:vAlign w:val="bottom"/>
          </w:tcPr>
          <w:p>
            <w:pPr>
              <w:jc w:val="right"/>
              <w:ind w:right="556"/>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1,050</w:t>
            </w:r>
          </w:p>
        </w:tc>
        <w:tc>
          <w:tcPr>
            <w:tcW w:w="260" w:type="dxa"/>
            <w:vAlign w:val="bottom"/>
          </w:tcPr>
          <w:p>
            <w:pPr>
              <w:spacing w:after="0"/>
              <w:rPr>
                <w:sz w:val="20"/>
                <w:szCs w:val="20"/>
                <w:color w:val="auto"/>
              </w:rPr>
            </w:pPr>
          </w:p>
        </w:tc>
        <w:tc>
          <w:tcPr>
            <w:tcW w:w="720" w:type="dxa"/>
            <w:vAlign w:val="bottom"/>
          </w:tcPr>
          <w:p>
            <w:pPr>
              <w:jc w:val="right"/>
              <w:ind w:right="534"/>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1,029</w:t>
            </w:r>
          </w:p>
        </w:tc>
        <w:tc>
          <w:tcPr>
            <w:tcW w:w="24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2,067</w:t>
            </w:r>
          </w:p>
        </w:tc>
        <w:tc>
          <w:tcPr>
            <w:tcW w:w="22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1,970</w:t>
            </w:r>
          </w:p>
        </w:tc>
        <w:tc>
          <w:tcPr>
            <w:tcW w:w="100" w:type="dxa"/>
            <w:vAlign w:val="bottom"/>
          </w:tcPr>
          <w:p>
            <w:pPr>
              <w:spacing w:after="0"/>
              <w:rPr>
                <w:sz w:val="20"/>
                <w:szCs w:val="20"/>
                <w:color w:val="auto"/>
              </w:rPr>
            </w:pPr>
          </w:p>
        </w:tc>
      </w:tr>
      <w:tr>
        <w:trPr>
          <w:trHeight w:val="247"/>
        </w:trPr>
        <w:tc>
          <w:tcPr>
            <w:tcW w:w="58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Energy Equipment</w:t>
            </w:r>
          </w:p>
        </w:tc>
        <w:tc>
          <w:tcPr>
            <w:tcW w:w="740" w:type="dxa"/>
            <w:vAlign w:val="bottom"/>
            <w:shd w:val="clear" w:color="auto" w:fill="CFF0FC"/>
          </w:tcPr>
          <w:p>
            <w:pPr>
              <w:spacing w:after="0"/>
              <w:rPr>
                <w:sz w:val="21"/>
                <w:szCs w:val="21"/>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1,204</w:t>
            </w:r>
          </w:p>
        </w:tc>
        <w:tc>
          <w:tcPr>
            <w:tcW w:w="260" w:type="dxa"/>
            <w:vAlign w:val="bottom"/>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1,117</w:t>
            </w: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2,382</w:t>
            </w:r>
          </w:p>
        </w:tc>
        <w:tc>
          <w:tcPr>
            <w:tcW w:w="2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2,169</w:t>
            </w:r>
          </w:p>
        </w:tc>
        <w:tc>
          <w:tcPr>
            <w:tcW w:w="100" w:type="dxa"/>
            <w:vAlign w:val="bottom"/>
            <w:shd w:val="clear" w:color="auto" w:fill="CFF0FC"/>
          </w:tcPr>
          <w:p>
            <w:pPr>
              <w:spacing w:after="0"/>
              <w:rPr>
                <w:sz w:val="21"/>
                <w:szCs w:val="21"/>
                <w:color w:val="auto"/>
              </w:rPr>
            </w:pPr>
          </w:p>
        </w:tc>
      </w:tr>
      <w:tr>
        <w:trPr>
          <w:trHeight w:val="238"/>
        </w:trPr>
        <w:tc>
          <w:tcPr>
            <w:tcW w:w="5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Eliminations</w:t>
            </w:r>
          </w:p>
        </w:tc>
        <w:tc>
          <w:tcPr>
            <w:tcW w:w="740" w:type="dxa"/>
            <w:vAlign w:val="bottom"/>
          </w:tcPr>
          <w:p>
            <w:pPr>
              <w:spacing w:after="0"/>
              <w:rPr>
                <w:sz w:val="20"/>
                <w:szCs w:val="20"/>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(38 )</w:t>
            </w:r>
          </w:p>
        </w:tc>
        <w:tc>
          <w:tcPr>
            <w:tcW w:w="720" w:type="dxa"/>
            <w:vAlign w:val="bottom"/>
          </w:tcPr>
          <w:p>
            <w:pPr>
              <w:spacing w:after="0"/>
              <w:rPr>
                <w:sz w:val="20"/>
                <w:szCs w:val="20"/>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(53 )</w:t>
            </w:r>
          </w:p>
        </w:tc>
        <w:tc>
          <w:tcPr>
            <w:tcW w:w="26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(78 )</w:t>
            </w:r>
          </w:p>
        </w:tc>
        <w:tc>
          <w:tcPr>
            <w:tcW w:w="280" w:type="dxa"/>
            <w:vAlign w:val="bottom"/>
          </w:tcPr>
          <w:p>
            <w:pPr>
              <w:spacing w:after="0"/>
              <w:rPr>
                <w:sz w:val="20"/>
                <w:szCs w:val="20"/>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(84 )</w:t>
            </w:r>
          </w:p>
        </w:tc>
      </w:tr>
      <w:tr>
        <w:trPr>
          <w:trHeight w:val="276"/>
        </w:trPr>
        <w:tc>
          <w:tcPr>
            <w:tcW w:w="58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740" w:type="dxa"/>
            <w:vAlign w:val="bottom"/>
            <w:tcBorders>
              <w:top w:val="single" w:sz="8" w:color="auto"/>
              <w:bottom w:val="single" w:sz="8" w:color="auto"/>
            </w:tcBorders>
            <w:shd w:val="clear" w:color="auto" w:fill="CFF0FC"/>
          </w:tcPr>
          <w:p>
            <w:pPr>
              <w:jc w:val="right"/>
              <w:ind w:right="556"/>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2,216</w:t>
            </w:r>
          </w:p>
        </w:tc>
        <w:tc>
          <w:tcPr>
            <w:tcW w:w="260" w:type="dxa"/>
            <w:vAlign w:val="bottom"/>
            <w:tcBorders>
              <w:bottom w:val="single" w:sz="8" w:color="CFF0FC"/>
            </w:tcBorders>
            <w:shd w:val="clear" w:color="auto" w:fill="CFF0FC"/>
          </w:tcPr>
          <w:p>
            <w:pPr>
              <w:spacing w:after="0"/>
              <w:rPr>
                <w:sz w:val="24"/>
                <w:szCs w:val="24"/>
                <w:color w:val="auto"/>
              </w:rPr>
            </w:pPr>
          </w:p>
        </w:tc>
        <w:tc>
          <w:tcPr>
            <w:tcW w:w="720" w:type="dxa"/>
            <w:vAlign w:val="bottom"/>
            <w:tcBorders>
              <w:top w:val="single" w:sz="8" w:color="auto"/>
              <w:bottom w:val="single" w:sz="8" w:color="auto"/>
            </w:tcBorders>
            <w:shd w:val="clear" w:color="auto" w:fill="CFF0FC"/>
          </w:tcPr>
          <w:p>
            <w:pPr>
              <w:jc w:val="right"/>
              <w:ind w:right="534"/>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2,093</w:t>
            </w:r>
          </w:p>
        </w:tc>
        <w:tc>
          <w:tcPr>
            <w:tcW w:w="24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4,371</w:t>
            </w:r>
          </w:p>
        </w:tc>
        <w:tc>
          <w:tcPr>
            <w:tcW w:w="22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4,055</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7"/>
        </w:trPr>
        <w:tc>
          <w:tcPr>
            <w:tcW w:w="58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3"/>
        </w:trPr>
        <w:tc>
          <w:tcPr>
            <w:tcW w:w="5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profit:</w:t>
            </w:r>
          </w:p>
        </w:tc>
        <w:tc>
          <w:tcPr>
            <w:tcW w:w="74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5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Energy Products and Services</w:t>
            </w:r>
          </w:p>
        </w:tc>
        <w:tc>
          <w:tcPr>
            <w:tcW w:w="740" w:type="dxa"/>
            <w:vAlign w:val="bottom"/>
          </w:tcPr>
          <w:p>
            <w:pPr>
              <w:jc w:val="right"/>
              <w:ind w:right="556"/>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260" w:type="dxa"/>
            <w:vAlign w:val="bottom"/>
          </w:tcPr>
          <w:p>
            <w:pPr>
              <w:spacing w:after="0"/>
              <w:rPr>
                <w:sz w:val="20"/>
                <w:szCs w:val="20"/>
                <w:color w:val="auto"/>
              </w:rPr>
            </w:pPr>
          </w:p>
        </w:tc>
        <w:tc>
          <w:tcPr>
            <w:tcW w:w="720" w:type="dxa"/>
            <w:vAlign w:val="bottom"/>
          </w:tcPr>
          <w:p>
            <w:pPr>
              <w:jc w:val="right"/>
              <w:ind w:right="534"/>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24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22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100" w:type="dxa"/>
            <w:vAlign w:val="bottom"/>
          </w:tcPr>
          <w:p>
            <w:pPr>
              <w:spacing w:after="0"/>
              <w:rPr>
                <w:sz w:val="20"/>
                <w:szCs w:val="20"/>
                <w:color w:val="auto"/>
              </w:rPr>
            </w:pPr>
          </w:p>
        </w:tc>
      </w:tr>
      <w:tr>
        <w:trPr>
          <w:trHeight w:val="247"/>
        </w:trPr>
        <w:tc>
          <w:tcPr>
            <w:tcW w:w="58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Energy Equipment</w:t>
            </w:r>
          </w:p>
        </w:tc>
        <w:tc>
          <w:tcPr>
            <w:tcW w:w="740" w:type="dxa"/>
            <w:vAlign w:val="bottom"/>
            <w:shd w:val="clear" w:color="auto" w:fill="CFF0FC"/>
          </w:tcPr>
          <w:p>
            <w:pPr>
              <w:spacing w:after="0"/>
              <w:rPr>
                <w:sz w:val="21"/>
                <w:szCs w:val="21"/>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260" w:type="dxa"/>
            <w:vAlign w:val="bottom"/>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2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00" w:type="dxa"/>
            <w:vAlign w:val="bottom"/>
            <w:shd w:val="clear" w:color="auto" w:fill="CFF0FC"/>
          </w:tcPr>
          <w:p>
            <w:pPr>
              <w:spacing w:after="0"/>
              <w:rPr>
                <w:sz w:val="21"/>
                <w:szCs w:val="21"/>
                <w:color w:val="auto"/>
              </w:rPr>
            </w:pPr>
          </w:p>
        </w:tc>
      </w:tr>
      <w:tr>
        <w:trPr>
          <w:trHeight w:val="238"/>
        </w:trPr>
        <w:tc>
          <w:tcPr>
            <w:tcW w:w="5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Eliminations and corporate costs</w:t>
            </w:r>
          </w:p>
        </w:tc>
        <w:tc>
          <w:tcPr>
            <w:tcW w:w="740" w:type="dxa"/>
            <w:vAlign w:val="bottom"/>
          </w:tcPr>
          <w:p>
            <w:pPr>
              <w:spacing w:after="0"/>
              <w:rPr>
                <w:sz w:val="20"/>
                <w:szCs w:val="20"/>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(47 )</w:t>
            </w:r>
          </w:p>
        </w:tc>
        <w:tc>
          <w:tcPr>
            <w:tcW w:w="720" w:type="dxa"/>
            <w:vAlign w:val="bottom"/>
          </w:tcPr>
          <w:p>
            <w:pPr>
              <w:spacing w:after="0"/>
              <w:rPr>
                <w:sz w:val="20"/>
                <w:szCs w:val="20"/>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(56 )</w:t>
            </w:r>
          </w:p>
        </w:tc>
        <w:tc>
          <w:tcPr>
            <w:tcW w:w="26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(101 )</w:t>
            </w:r>
          </w:p>
        </w:tc>
        <w:tc>
          <w:tcPr>
            <w:tcW w:w="280" w:type="dxa"/>
            <w:vAlign w:val="bottom"/>
          </w:tcPr>
          <w:p>
            <w:pPr>
              <w:spacing w:after="0"/>
              <w:rPr>
                <w:sz w:val="20"/>
                <w:szCs w:val="20"/>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(113 )</w:t>
            </w:r>
          </w:p>
        </w:tc>
      </w:tr>
      <w:tr>
        <w:trPr>
          <w:trHeight w:val="276"/>
        </w:trPr>
        <w:tc>
          <w:tcPr>
            <w:tcW w:w="58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operating profit</w:t>
            </w:r>
          </w:p>
        </w:tc>
        <w:tc>
          <w:tcPr>
            <w:tcW w:w="740" w:type="dxa"/>
            <w:vAlign w:val="bottom"/>
            <w:tcBorders>
              <w:top w:val="single" w:sz="8" w:color="auto"/>
              <w:bottom w:val="single" w:sz="8" w:color="auto"/>
            </w:tcBorders>
            <w:shd w:val="clear" w:color="auto" w:fill="CFF0FC"/>
          </w:tcPr>
          <w:p>
            <w:pPr>
              <w:jc w:val="right"/>
              <w:ind w:right="556"/>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260" w:type="dxa"/>
            <w:vAlign w:val="bottom"/>
            <w:tcBorders>
              <w:bottom w:val="single" w:sz="8" w:color="CFF0FC"/>
            </w:tcBorders>
            <w:shd w:val="clear" w:color="auto" w:fill="CFF0FC"/>
          </w:tcPr>
          <w:p>
            <w:pPr>
              <w:spacing w:after="0"/>
              <w:rPr>
                <w:sz w:val="24"/>
                <w:szCs w:val="24"/>
                <w:color w:val="auto"/>
              </w:rPr>
            </w:pPr>
          </w:p>
        </w:tc>
        <w:tc>
          <w:tcPr>
            <w:tcW w:w="720" w:type="dxa"/>
            <w:vAlign w:val="bottom"/>
            <w:tcBorders>
              <w:top w:val="single" w:sz="8" w:color="auto"/>
              <w:bottom w:val="single" w:sz="8" w:color="auto"/>
            </w:tcBorders>
            <w:shd w:val="clear" w:color="auto" w:fill="CFF0FC"/>
          </w:tcPr>
          <w:p>
            <w:pPr>
              <w:jc w:val="right"/>
              <w:ind w:right="534"/>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24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22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4448810</wp:posOffset>
            </wp:positionH>
            <wp:positionV relativeFrom="paragraph">
              <wp:posOffset>-984250</wp:posOffset>
            </wp:positionV>
            <wp:extent cx="7683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4448810</wp:posOffset>
            </wp:positionH>
            <wp:positionV relativeFrom="paragraph">
              <wp:posOffset>-967105</wp:posOffset>
            </wp:positionV>
            <wp:extent cx="7683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5339080</wp:posOffset>
            </wp:positionH>
            <wp:positionV relativeFrom="paragraph">
              <wp:posOffset>-984250</wp:posOffset>
            </wp:positionV>
            <wp:extent cx="6858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5339080</wp:posOffset>
            </wp:positionH>
            <wp:positionV relativeFrom="paragraph">
              <wp:posOffset>-967105</wp:posOffset>
            </wp:positionV>
            <wp:extent cx="6858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6203950</wp:posOffset>
            </wp:positionH>
            <wp:positionV relativeFrom="paragraph">
              <wp:posOffset>-984250</wp:posOffset>
            </wp:positionV>
            <wp:extent cx="6858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6203950</wp:posOffset>
            </wp:positionH>
            <wp:positionV relativeFrom="paragraph">
              <wp:posOffset>-967105</wp:posOffset>
            </wp:positionV>
            <wp:extent cx="6858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-984250</wp:posOffset>
            </wp:positionV>
            <wp:extent cx="6858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-967105</wp:posOffset>
            </wp:positionV>
            <wp:extent cx="6858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4448810</wp:posOffset>
            </wp:positionH>
            <wp:positionV relativeFrom="paragraph">
              <wp:posOffset>-24765</wp:posOffset>
            </wp:positionV>
            <wp:extent cx="7683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4448810</wp:posOffset>
            </wp:positionH>
            <wp:positionV relativeFrom="paragraph">
              <wp:posOffset>-7620</wp:posOffset>
            </wp:positionV>
            <wp:extent cx="7683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5339080</wp:posOffset>
            </wp:positionH>
            <wp:positionV relativeFrom="paragraph">
              <wp:posOffset>-24765</wp:posOffset>
            </wp:positionV>
            <wp:extent cx="6858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5339080</wp:posOffset>
            </wp:positionH>
            <wp:positionV relativeFrom="paragraph">
              <wp:posOffset>-7620</wp:posOffset>
            </wp:positionV>
            <wp:extent cx="6858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6203950</wp:posOffset>
            </wp:positionH>
            <wp:positionV relativeFrom="paragraph">
              <wp:posOffset>-24765</wp:posOffset>
            </wp:positionV>
            <wp:extent cx="6858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6203950</wp:posOffset>
            </wp:positionH>
            <wp:positionV relativeFrom="paragraph">
              <wp:posOffset>-7620</wp:posOffset>
            </wp:positionV>
            <wp:extent cx="6858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Sales from one segment to another generally are priced at estimated equivalent commercial selling prices; however, segments originating an external sale are credited with the full profit to the Company. Eliminations include intercompany transactions conducted between the two reporting segments that are eliminated in consolidation. Intrasegment transactions are eliminated within each segment.</w:t>
      </w:r>
    </w:p>
    <w:p>
      <w:pPr>
        <w:spacing w:after="0" w:line="20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Total other items included in operating profit were a credit of $118 million and $121 million for the three and six months ended June 30, 2024, primarily related to gains from divestiture of its Pole Products business, and a credit of $7 million and $11 million for the three and six months ended June 30, 2023, primarily related to gains on the sale of previously reserved inventory.</w:t>
      </w:r>
    </w:p>
    <w:p>
      <w:pPr>
        <w:spacing w:after="0" w:line="200" w:lineRule="exact"/>
        <w:rPr>
          <w:sz w:val="20"/>
          <w:szCs w:val="20"/>
          <w:color w:val="auto"/>
        </w:rPr>
      </w:pPr>
    </w:p>
    <w:p>
      <w:pPr>
        <w:ind w:left="360" w:hanging="352"/>
        <w:spacing w:after="0"/>
        <w:tabs>
          <w:tab w:leader="none" w:pos="36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Acquisitions and Divestitures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first half of 2024, our Energy Products and Services segment made two strategic acquisitions to enhance and expand our existing portfolio for a total consideration of $245 million, net of cash acquired. One of the two acquisitions was a company owned by White Deer Energy, a middle market private equity fund focused on energy investments. As the transaction involved a related party at the time it was entered into (e.g., directors Ben A. Guill and Eric L. Mattson both had an investment interest in certain White Deer Energy funds), the acquisition was approved by the disinterested members of the Company’s Board of Directors.</w:t>
      </w:r>
    </w:p>
    <w:p>
      <w:pPr>
        <w:spacing w:after="0" w:line="7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As of June 30, 2024, we provisionally recorded $126 million of goodwill and amortizable intangible assets; $63 million of PP&amp;E, including financing and operating lease right of use assets; $89 million of net working capital; $16 million of finance and operating lease liabilities, and $17 million in other liabilities. The fair values of the assets acquired and liabilities assumed are preliminary and subject to change until we finalize our accounting for these acquisitions.</w:t>
      </w:r>
    </w:p>
    <w:p>
      <w:pPr>
        <w:spacing w:after="0" w:line="7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On April 9, 2024, NOV completed the divestiture of its Pole Products business. Pole Products is a leading manufacturer of premium spun-cast concrete and tapered steel poles for diverse applications. We recorded a gain of $131 million, which is included as a reduction of Cost of Revenue on the Consolidated Statements of Income.</w:t>
      </w:r>
    </w:p>
    <w:p>
      <w:pPr>
        <w:spacing w:after="0" w:line="204" w:lineRule="exact"/>
        <w:rPr>
          <w:sz w:val="20"/>
          <w:szCs w:val="20"/>
          <w:color w:val="auto"/>
        </w:rPr>
      </w:pPr>
    </w:p>
    <w:p>
      <w:pPr>
        <w:ind w:right="120"/>
        <w:spacing w:after="0" w:line="281" w:lineRule="auto"/>
        <w:rPr>
          <w:sz w:val="20"/>
          <w:szCs w:val="20"/>
          <w:color w:val="auto"/>
        </w:rPr>
      </w:pPr>
      <w:r>
        <w:rPr>
          <w:rFonts w:ascii="Times New Roman" w:cs="Times New Roman" w:eastAsia="Times New Roman" w:hAnsi="Times New Roman"/>
          <w:sz w:val="18"/>
          <w:szCs w:val="18"/>
          <w:color w:val="auto"/>
        </w:rPr>
        <w:t>During the second quarter, the Company purchased the remaining noncontrolling interest in Keystone Tower Systems (KTS) for total consideration of $30 million.</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9" w:right="339" w:bottom="1440" w:gutter="0" w:footer="0" w:header="0"/>
        </w:sectPr>
      </w:pPr>
    </w:p>
    <w:bookmarkStart w:id="9" w:name="page10"/>
    <w:bookmarkEnd w:id="9"/>
    <w:p>
      <w:pPr>
        <w:ind w:left="360" w:hanging="352"/>
        <w:spacing w:after="0"/>
        <w:tabs>
          <w:tab w:leader="none" w:pos="36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Disaggregation of Revenue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disaggregates the Company’s revenue by major geographic and market segment destination. In the table, North America includes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and Canada (in millions):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4"/>
          </w:tcPr>
          <w:p>
            <w:pPr>
              <w:jc w:val="right"/>
              <w:ind w:right="211"/>
              <w:spacing w:after="0"/>
              <w:rPr>
                <w:sz w:val="20"/>
                <w:szCs w:val="20"/>
                <w:color w:val="auto"/>
              </w:rPr>
            </w:pPr>
            <w:r>
              <w:rPr>
                <w:rFonts w:ascii="Times New Roman" w:cs="Times New Roman" w:eastAsia="Times New Roman" w:hAnsi="Times New Roman"/>
                <w:sz w:val="13"/>
                <w:szCs w:val="13"/>
                <w:b w:val="1"/>
                <w:bCs w:val="1"/>
                <w:color w:val="auto"/>
                <w:w w:val="98"/>
              </w:rPr>
              <w:t>Three Months Ended June 30,</w:t>
            </w: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7"/>
        </w:trPr>
        <w:tc>
          <w:tcPr>
            <w:tcW w:w="20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rPr>
              <w:t>2024</w:t>
            </w:r>
          </w:p>
        </w:tc>
        <w:tc>
          <w:tcPr>
            <w:tcW w:w="2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gridSpan w:val="2"/>
          </w:tcPr>
          <w:p>
            <w:pPr>
              <w:jc w:val="right"/>
              <w:ind w:right="108"/>
              <w:spacing w:after="0"/>
              <w:rPr>
                <w:sz w:val="20"/>
                <w:szCs w:val="20"/>
                <w:color w:val="auto"/>
              </w:rPr>
            </w:pPr>
            <w:r>
              <w:rPr>
                <w:rFonts w:ascii="Times New Roman" w:cs="Times New Roman" w:eastAsia="Times New Roman" w:hAnsi="Times New Roman"/>
                <w:sz w:val="13"/>
                <w:szCs w:val="13"/>
                <w:b w:val="1"/>
                <w:bCs w:val="1"/>
                <w:color w:val="auto"/>
                <w:w w:val="84"/>
              </w:rPr>
              <w:t>2023</w:t>
            </w:r>
          </w:p>
        </w:tc>
        <w:tc>
          <w:tcPr>
            <w:tcW w:w="7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66"/>
        </w:trPr>
        <w:tc>
          <w:tcPr>
            <w:tcW w:w="2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center"/>
              <w:ind w:right="31"/>
              <w:spacing w:after="0"/>
              <w:rPr>
                <w:sz w:val="20"/>
                <w:szCs w:val="20"/>
                <w:color w:val="auto"/>
              </w:rPr>
            </w:pPr>
            <w:r>
              <w:rPr>
                <w:rFonts w:ascii="Times New Roman" w:cs="Times New Roman" w:eastAsia="Times New Roman" w:hAnsi="Times New Roman"/>
                <w:sz w:val="13"/>
                <w:szCs w:val="13"/>
                <w:b w:val="1"/>
                <w:bCs w:val="1"/>
                <w:color w:val="auto"/>
                <w:w w:val="93"/>
              </w:rPr>
              <w:t>Energy</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center"/>
              <w:ind w:right="31"/>
              <w:spacing w:after="0"/>
              <w:rPr>
                <w:sz w:val="20"/>
                <w:szCs w:val="20"/>
                <w:color w:val="auto"/>
              </w:rPr>
            </w:pPr>
            <w:r>
              <w:rPr>
                <w:rFonts w:ascii="Times New Roman" w:cs="Times New Roman" w:eastAsia="Times New Roman" w:hAnsi="Times New Roman"/>
                <w:sz w:val="13"/>
                <w:szCs w:val="13"/>
                <w:b w:val="1"/>
                <w:bCs w:val="1"/>
                <w:color w:val="auto"/>
                <w:w w:val="93"/>
              </w:rPr>
              <w:t>Energy</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2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center"/>
              <w:ind w:right="51"/>
              <w:spacing w:after="0"/>
              <w:rPr>
                <w:sz w:val="20"/>
                <w:szCs w:val="20"/>
                <w:color w:val="auto"/>
              </w:rPr>
            </w:pPr>
            <w:r>
              <w:rPr>
                <w:rFonts w:ascii="Times New Roman" w:cs="Times New Roman" w:eastAsia="Times New Roman" w:hAnsi="Times New Roman"/>
                <w:sz w:val="13"/>
                <w:szCs w:val="13"/>
                <w:b w:val="1"/>
                <w:bCs w:val="1"/>
                <w:color w:val="auto"/>
                <w:w w:val="96"/>
              </w:rPr>
              <w:t>Products</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tcPr>
          <w:p>
            <w:pPr>
              <w:jc w:val="center"/>
              <w:ind w:right="380"/>
              <w:spacing w:after="0"/>
              <w:rPr>
                <w:sz w:val="20"/>
                <w:szCs w:val="20"/>
                <w:color w:val="auto"/>
              </w:rPr>
            </w:pPr>
            <w:r>
              <w:rPr>
                <w:rFonts w:ascii="Times New Roman" w:cs="Times New Roman" w:eastAsia="Times New Roman" w:hAnsi="Times New Roman"/>
                <w:sz w:val="13"/>
                <w:szCs w:val="13"/>
                <w:b w:val="1"/>
                <w:bCs w:val="1"/>
                <w:color w:val="auto"/>
                <w:w w:val="98"/>
              </w:rPr>
              <w:t>Energy</w:t>
            </w: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center"/>
              <w:ind w:right="51"/>
              <w:spacing w:after="0"/>
              <w:rPr>
                <w:sz w:val="20"/>
                <w:szCs w:val="20"/>
                <w:color w:val="auto"/>
              </w:rPr>
            </w:pPr>
            <w:r>
              <w:rPr>
                <w:rFonts w:ascii="Times New Roman" w:cs="Times New Roman" w:eastAsia="Times New Roman" w:hAnsi="Times New Roman"/>
                <w:sz w:val="13"/>
                <w:szCs w:val="13"/>
                <w:b w:val="1"/>
                <w:bCs w:val="1"/>
                <w:color w:val="auto"/>
                <w:w w:val="96"/>
              </w:rPr>
              <w:t>Products</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center"/>
              <w:ind w:right="50"/>
              <w:spacing w:after="0"/>
              <w:rPr>
                <w:sz w:val="20"/>
                <w:szCs w:val="20"/>
                <w:color w:val="auto"/>
              </w:rPr>
            </w:pPr>
            <w:r>
              <w:rPr>
                <w:rFonts w:ascii="Times New Roman" w:cs="Times New Roman" w:eastAsia="Times New Roman" w:hAnsi="Times New Roman"/>
                <w:sz w:val="13"/>
                <w:szCs w:val="13"/>
                <w:b w:val="1"/>
                <w:bCs w:val="1"/>
                <w:color w:val="auto"/>
                <w:w w:val="93"/>
              </w:rPr>
              <w:t>Energy</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7"/>
        </w:trPr>
        <w:tc>
          <w:tcPr>
            <w:tcW w:w="20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31"/>
              <w:spacing w:after="0"/>
              <w:rPr>
                <w:sz w:val="20"/>
                <w:szCs w:val="20"/>
                <w:color w:val="auto"/>
              </w:rPr>
            </w:pPr>
            <w:r>
              <w:rPr>
                <w:rFonts w:ascii="Times New Roman" w:cs="Times New Roman" w:eastAsia="Times New Roman" w:hAnsi="Times New Roman"/>
                <w:sz w:val="13"/>
                <w:szCs w:val="13"/>
                <w:b w:val="1"/>
                <w:bCs w:val="1"/>
                <w:color w:val="auto"/>
                <w:w w:val="94"/>
              </w:rPr>
              <w:t>and Services</w:t>
            </w:r>
          </w:p>
        </w:tc>
        <w:tc>
          <w:tcPr>
            <w:tcW w:w="2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71"/>
              <w:spacing w:after="0"/>
              <w:rPr>
                <w:sz w:val="20"/>
                <w:szCs w:val="20"/>
                <w:color w:val="auto"/>
              </w:rPr>
            </w:pPr>
            <w:r>
              <w:rPr>
                <w:rFonts w:ascii="Times New Roman" w:cs="Times New Roman" w:eastAsia="Times New Roman" w:hAnsi="Times New Roman"/>
                <w:sz w:val="13"/>
                <w:szCs w:val="13"/>
                <w:b w:val="1"/>
                <w:bCs w:val="1"/>
                <w:color w:val="auto"/>
                <w:w w:val="96"/>
              </w:rPr>
              <w:t>Equipment</w:t>
            </w:r>
          </w:p>
        </w:tc>
        <w:tc>
          <w:tcPr>
            <w:tcW w:w="2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3"/>
                <w:szCs w:val="13"/>
                <w:b w:val="1"/>
                <w:bCs w:val="1"/>
                <w:color w:val="auto"/>
              </w:rPr>
              <w:t>Elims.</w:t>
            </w: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31"/>
              <w:spacing w:after="0"/>
              <w:rPr>
                <w:sz w:val="20"/>
                <w:szCs w:val="20"/>
                <w:color w:val="auto"/>
              </w:rPr>
            </w:pPr>
            <w:r>
              <w:rPr>
                <w:rFonts w:ascii="Times New Roman" w:cs="Times New Roman" w:eastAsia="Times New Roman" w:hAnsi="Times New Roman"/>
                <w:sz w:val="13"/>
                <w:szCs w:val="13"/>
                <w:b w:val="1"/>
                <w:bCs w:val="1"/>
                <w:color w:val="auto"/>
                <w:w w:val="94"/>
              </w:rPr>
              <w:t>and Services</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3"/>
                <w:szCs w:val="13"/>
                <w:b w:val="1"/>
                <w:bCs w:val="1"/>
                <w:color w:val="auto"/>
                <w:w w:val="96"/>
              </w:rPr>
              <w:t>Equipment</w:t>
            </w:r>
          </w:p>
        </w:tc>
        <w:tc>
          <w:tcPr>
            <w:tcW w:w="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3"/>
                <w:szCs w:val="13"/>
                <w:b w:val="1"/>
                <w:bCs w:val="1"/>
                <w:color w:val="auto"/>
              </w:rPr>
              <w:t>Elims.</w:t>
            </w:r>
          </w:p>
        </w:tc>
        <w:tc>
          <w:tcPr>
            <w:tcW w:w="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69"/>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00" w:type="dxa"/>
            <w:vAlign w:val="bottom"/>
          </w:tcPr>
          <w:p>
            <w:pPr>
              <w:spacing w:after="0"/>
              <w:rPr>
                <w:sz w:val="14"/>
                <w:szCs w:val="14"/>
                <w:color w:val="auto"/>
              </w:rPr>
            </w:pPr>
          </w:p>
        </w:tc>
      </w:tr>
      <w:tr>
        <w:trPr>
          <w:trHeight w:val="170"/>
        </w:trPr>
        <w:tc>
          <w:tcPr>
            <w:tcW w:w="2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North America</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534</w:t>
            </w: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301</w:t>
            </w:r>
          </w:p>
        </w:tc>
        <w:tc>
          <w:tcPr>
            <w:tcW w:w="240" w:type="dxa"/>
            <w:vAlign w:val="bottom"/>
            <w:shd w:val="clear" w:color="auto" w:fill="CFF0FC"/>
          </w:tcPr>
          <w:p>
            <w:pPr>
              <w:spacing w:after="0"/>
              <w:rPr>
                <w:sz w:val="14"/>
                <w:szCs w:val="14"/>
                <w:color w:val="auto"/>
              </w:rPr>
            </w:pPr>
          </w:p>
        </w:tc>
        <w:tc>
          <w:tcPr>
            <w:tcW w:w="2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835</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519</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326</w:t>
            </w:r>
          </w:p>
        </w:tc>
        <w:tc>
          <w:tcPr>
            <w:tcW w:w="42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845</w:t>
            </w:r>
          </w:p>
        </w:tc>
        <w:tc>
          <w:tcPr>
            <w:tcW w:w="100" w:type="dxa"/>
            <w:vAlign w:val="bottom"/>
            <w:shd w:val="clear" w:color="auto" w:fill="CFF0FC"/>
          </w:tcPr>
          <w:p>
            <w:pPr>
              <w:spacing w:after="0"/>
              <w:rPr>
                <w:sz w:val="14"/>
                <w:szCs w:val="14"/>
                <w:color w:val="auto"/>
              </w:rPr>
            </w:pPr>
          </w:p>
        </w:tc>
      </w:tr>
      <w:tr>
        <w:trPr>
          <w:trHeight w:val="175"/>
        </w:trPr>
        <w:tc>
          <w:tcPr>
            <w:tcW w:w="2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International</w:t>
            </w: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493</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888</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1,381</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471</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777</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1,248</w:t>
            </w:r>
          </w:p>
        </w:tc>
        <w:tc>
          <w:tcPr>
            <w:tcW w:w="100" w:type="dxa"/>
            <w:vAlign w:val="bottom"/>
          </w:tcPr>
          <w:p>
            <w:pPr>
              <w:spacing w:after="0"/>
              <w:rPr>
                <w:sz w:val="15"/>
                <w:szCs w:val="15"/>
                <w:color w:val="auto"/>
              </w:rPr>
            </w:pPr>
          </w:p>
        </w:tc>
      </w:tr>
      <w:tr>
        <w:trPr>
          <w:trHeight w:val="175"/>
        </w:trPr>
        <w:tc>
          <w:tcPr>
            <w:tcW w:w="2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Eliminations</w:t>
            </w:r>
          </w:p>
        </w:tc>
        <w:tc>
          <w:tcPr>
            <w:tcW w:w="10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2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2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(38 )</w:t>
            </w:r>
          </w:p>
        </w:tc>
        <w:tc>
          <w:tcPr>
            <w:tcW w:w="14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2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(53 )</w:t>
            </w:r>
          </w:p>
        </w:tc>
        <w:tc>
          <w:tcPr>
            <w:tcW w:w="200" w:type="dxa"/>
            <w:vAlign w:val="bottom"/>
            <w:shd w:val="clear" w:color="auto" w:fill="CFF0FC"/>
          </w:tcPr>
          <w:p>
            <w:pPr>
              <w:spacing w:after="0"/>
              <w:rPr>
                <w:sz w:val="15"/>
                <w:szCs w:val="15"/>
                <w:color w:val="auto"/>
              </w:rPr>
            </w:pPr>
          </w:p>
        </w:tc>
        <w:tc>
          <w:tcPr>
            <w:tcW w:w="8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r>
      <w:tr>
        <w:trPr>
          <w:trHeight w:val="20"/>
        </w:trPr>
        <w:tc>
          <w:tcPr>
            <w:tcW w:w="20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69"/>
        </w:trPr>
        <w:tc>
          <w:tcPr>
            <w:tcW w:w="20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1,050</w:t>
            </w:r>
          </w:p>
        </w:tc>
        <w:tc>
          <w:tcPr>
            <w:tcW w:w="26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1,204</w:t>
            </w:r>
          </w:p>
        </w:tc>
        <w:tc>
          <w:tcPr>
            <w:tcW w:w="240" w:type="dxa"/>
            <w:vAlign w:val="bottom"/>
          </w:tcPr>
          <w:p>
            <w:pPr>
              <w:spacing w:after="0"/>
              <w:rPr>
                <w:sz w:val="14"/>
                <w:szCs w:val="14"/>
                <w:color w:val="auto"/>
              </w:rPr>
            </w:pP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(38 )</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2,216</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1,029</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1,117</w:t>
            </w:r>
          </w:p>
        </w:tc>
        <w:tc>
          <w:tcPr>
            <w:tcW w:w="42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(53 )</w:t>
            </w: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2,093</w:t>
            </w:r>
          </w:p>
        </w:tc>
        <w:tc>
          <w:tcPr>
            <w:tcW w:w="100" w:type="dxa"/>
            <w:vAlign w:val="bottom"/>
          </w:tcPr>
          <w:p>
            <w:pPr>
              <w:spacing w:after="0"/>
              <w:rPr>
                <w:sz w:val="14"/>
                <w:szCs w:val="14"/>
                <w:color w:val="auto"/>
              </w:rPr>
            </w:pPr>
          </w:p>
        </w:tc>
      </w:tr>
      <w:tr>
        <w:trPr>
          <w:trHeight w:val="20"/>
        </w:trPr>
        <w:tc>
          <w:tcPr>
            <w:tcW w:w="20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6"/>
        </w:trPr>
        <w:tc>
          <w:tcPr>
            <w:tcW w:w="20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20" w:type="dxa"/>
            <w:vAlign w:val="bottom"/>
            <w:tcBorders>
              <w:right w:val="single" w:sz="8" w:color="CFF0FC"/>
            </w:tcBorders>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r>
      <w:tr>
        <w:trPr>
          <w:trHeight w:val="175"/>
        </w:trPr>
        <w:tc>
          <w:tcPr>
            <w:tcW w:w="2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Land</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777</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460</w:t>
            </w:r>
          </w:p>
        </w:tc>
        <w:tc>
          <w:tcPr>
            <w:tcW w:w="240" w:type="dxa"/>
            <w:vAlign w:val="bottom"/>
          </w:tcPr>
          <w:p>
            <w:pPr>
              <w:spacing w:after="0"/>
              <w:rPr>
                <w:sz w:val="15"/>
                <w:szCs w:val="15"/>
                <w:color w:val="auto"/>
              </w:rPr>
            </w:pP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1,237</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729</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443</w:t>
            </w:r>
          </w:p>
        </w:tc>
        <w:tc>
          <w:tcPr>
            <w:tcW w:w="42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1,172</w:t>
            </w:r>
          </w:p>
        </w:tc>
        <w:tc>
          <w:tcPr>
            <w:tcW w:w="100" w:type="dxa"/>
            <w:vAlign w:val="bottom"/>
          </w:tcPr>
          <w:p>
            <w:pPr>
              <w:spacing w:after="0"/>
              <w:rPr>
                <w:sz w:val="15"/>
                <w:szCs w:val="15"/>
                <w:color w:val="auto"/>
              </w:rPr>
            </w:pPr>
          </w:p>
        </w:tc>
      </w:tr>
      <w:tr>
        <w:trPr>
          <w:trHeight w:val="175"/>
        </w:trPr>
        <w:tc>
          <w:tcPr>
            <w:tcW w:w="2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Offshore</w:t>
            </w:r>
          </w:p>
        </w:tc>
        <w:tc>
          <w:tcPr>
            <w:tcW w:w="10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250</w:t>
            </w:r>
          </w:p>
        </w:tc>
        <w:tc>
          <w:tcPr>
            <w:tcW w:w="2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729</w:t>
            </w:r>
          </w:p>
        </w:tc>
        <w:tc>
          <w:tcPr>
            <w:tcW w:w="2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979</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261</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660</w:t>
            </w:r>
          </w:p>
        </w:tc>
        <w:tc>
          <w:tcPr>
            <w:tcW w:w="2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921</w:t>
            </w:r>
          </w:p>
        </w:tc>
        <w:tc>
          <w:tcPr>
            <w:tcW w:w="100" w:type="dxa"/>
            <w:vAlign w:val="bottom"/>
            <w:shd w:val="clear" w:color="auto" w:fill="CFF0FC"/>
          </w:tcPr>
          <w:p>
            <w:pPr>
              <w:spacing w:after="0"/>
              <w:rPr>
                <w:sz w:val="15"/>
                <w:szCs w:val="15"/>
                <w:color w:val="auto"/>
              </w:rPr>
            </w:pPr>
          </w:p>
        </w:tc>
      </w:tr>
      <w:tr>
        <w:trPr>
          <w:trHeight w:val="175"/>
        </w:trPr>
        <w:tc>
          <w:tcPr>
            <w:tcW w:w="2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Eliminations</w:t>
            </w: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(38 )</w:t>
            </w:r>
          </w:p>
        </w:tc>
        <w:tc>
          <w:tcPr>
            <w:tcW w:w="1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(53 )</w:t>
            </w:r>
          </w:p>
        </w:tc>
        <w:tc>
          <w:tcPr>
            <w:tcW w:w="200" w:type="dxa"/>
            <w:vAlign w:val="bottom"/>
          </w:tcPr>
          <w:p>
            <w:pPr>
              <w:spacing w:after="0"/>
              <w:rPr>
                <w:sz w:val="15"/>
                <w:szCs w:val="15"/>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r>
      <w:tr>
        <w:trPr>
          <w:trHeight w:val="20"/>
        </w:trPr>
        <w:tc>
          <w:tcPr>
            <w:tcW w:w="20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9"/>
        </w:trPr>
        <w:tc>
          <w:tcPr>
            <w:tcW w:w="2000" w:type="dxa"/>
            <w:vAlign w:val="bottom"/>
            <w:shd w:val="clear" w:color="auto" w:fill="CFF0FC"/>
          </w:tcPr>
          <w:p>
            <w:pPr>
              <w:spacing w:after="0"/>
              <w:rPr>
                <w:sz w:val="16"/>
                <w:szCs w:val="16"/>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1,050</w:t>
            </w:r>
          </w:p>
        </w:tc>
        <w:tc>
          <w:tcPr>
            <w:tcW w:w="260" w:type="dxa"/>
            <w:vAlign w:val="bottom"/>
            <w:shd w:val="clear" w:color="auto" w:fill="CFF0FC"/>
          </w:tcPr>
          <w:p>
            <w:pPr>
              <w:spacing w:after="0"/>
              <w:rPr>
                <w:sz w:val="16"/>
                <w:szCs w:val="16"/>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1,204</w:t>
            </w:r>
          </w:p>
        </w:tc>
        <w:tc>
          <w:tcPr>
            <w:tcW w:w="240" w:type="dxa"/>
            <w:vAlign w:val="bottom"/>
            <w:shd w:val="clear" w:color="auto" w:fill="CFF0FC"/>
          </w:tcPr>
          <w:p>
            <w:pPr>
              <w:spacing w:after="0"/>
              <w:rPr>
                <w:sz w:val="16"/>
                <w:szCs w:val="16"/>
                <w:color w:val="auto"/>
              </w:rPr>
            </w:pPr>
          </w:p>
        </w:tc>
        <w:tc>
          <w:tcPr>
            <w:tcW w:w="2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(38 )</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2,216</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1,029</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1,117</w:t>
            </w:r>
          </w:p>
        </w:tc>
        <w:tc>
          <w:tcPr>
            <w:tcW w:w="42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(53 )</w:t>
            </w:r>
          </w:p>
        </w:tc>
        <w:tc>
          <w:tcPr>
            <w:tcW w:w="2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2,093</w:t>
            </w:r>
          </w:p>
        </w:tc>
        <w:tc>
          <w:tcPr>
            <w:tcW w:w="100" w:type="dxa"/>
            <w:vAlign w:val="bottom"/>
            <w:shd w:val="clear" w:color="auto" w:fill="CFF0FC"/>
          </w:tcPr>
          <w:p>
            <w:pPr>
              <w:spacing w:after="0"/>
              <w:rPr>
                <w:sz w:val="16"/>
                <w:szCs w:val="16"/>
                <w:color w:val="auto"/>
              </w:rPr>
            </w:pPr>
          </w:p>
        </w:tc>
      </w:tr>
      <w:tr>
        <w:trPr>
          <w:trHeight w:val="20"/>
        </w:trPr>
        <w:tc>
          <w:tcPr>
            <w:tcW w:w="20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451"/>
        </w:trPr>
        <w:tc>
          <w:tcPr>
            <w:tcW w:w="20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gridSpan w:val="4"/>
          </w:tcPr>
          <w:p>
            <w:pPr>
              <w:jc w:val="right"/>
              <w:ind w:right="291"/>
              <w:spacing w:after="0"/>
              <w:rPr>
                <w:sz w:val="20"/>
                <w:szCs w:val="20"/>
                <w:color w:val="auto"/>
              </w:rPr>
            </w:pPr>
            <w:r>
              <w:rPr>
                <w:rFonts w:ascii="Times New Roman" w:cs="Times New Roman" w:eastAsia="Times New Roman" w:hAnsi="Times New Roman"/>
                <w:sz w:val="13"/>
                <w:szCs w:val="13"/>
                <w:b w:val="1"/>
                <w:bCs w:val="1"/>
                <w:color w:val="auto"/>
              </w:rPr>
              <w:t>Six Months Ended June 30,</w:t>
            </w: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57"/>
        </w:trPr>
        <w:tc>
          <w:tcPr>
            <w:tcW w:w="20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rPr>
              <w:t>2024</w:t>
            </w:r>
          </w:p>
        </w:tc>
        <w:tc>
          <w:tcPr>
            <w:tcW w:w="2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gridSpan w:val="2"/>
          </w:tcPr>
          <w:p>
            <w:pPr>
              <w:jc w:val="right"/>
              <w:ind w:right="108"/>
              <w:spacing w:after="0"/>
              <w:rPr>
                <w:sz w:val="20"/>
                <w:szCs w:val="20"/>
                <w:color w:val="auto"/>
              </w:rPr>
            </w:pPr>
            <w:r>
              <w:rPr>
                <w:rFonts w:ascii="Times New Roman" w:cs="Times New Roman" w:eastAsia="Times New Roman" w:hAnsi="Times New Roman"/>
                <w:sz w:val="13"/>
                <w:szCs w:val="13"/>
                <w:b w:val="1"/>
                <w:bCs w:val="1"/>
                <w:color w:val="auto"/>
                <w:w w:val="84"/>
              </w:rPr>
              <w:t>2023</w:t>
            </w:r>
          </w:p>
        </w:tc>
        <w:tc>
          <w:tcPr>
            <w:tcW w:w="7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66"/>
        </w:trPr>
        <w:tc>
          <w:tcPr>
            <w:tcW w:w="2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center"/>
              <w:ind w:right="31"/>
              <w:spacing w:after="0"/>
              <w:rPr>
                <w:sz w:val="20"/>
                <w:szCs w:val="20"/>
                <w:color w:val="auto"/>
              </w:rPr>
            </w:pPr>
            <w:r>
              <w:rPr>
                <w:rFonts w:ascii="Times New Roman" w:cs="Times New Roman" w:eastAsia="Times New Roman" w:hAnsi="Times New Roman"/>
                <w:sz w:val="13"/>
                <w:szCs w:val="13"/>
                <w:b w:val="1"/>
                <w:bCs w:val="1"/>
                <w:color w:val="auto"/>
                <w:w w:val="93"/>
              </w:rPr>
              <w:t>Energy</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center"/>
              <w:ind w:right="31"/>
              <w:spacing w:after="0"/>
              <w:rPr>
                <w:sz w:val="20"/>
                <w:szCs w:val="20"/>
                <w:color w:val="auto"/>
              </w:rPr>
            </w:pPr>
            <w:r>
              <w:rPr>
                <w:rFonts w:ascii="Times New Roman" w:cs="Times New Roman" w:eastAsia="Times New Roman" w:hAnsi="Times New Roman"/>
                <w:sz w:val="13"/>
                <w:szCs w:val="13"/>
                <w:b w:val="1"/>
                <w:bCs w:val="1"/>
                <w:color w:val="auto"/>
                <w:w w:val="93"/>
              </w:rPr>
              <w:t>Energy</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2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center"/>
              <w:ind w:right="51"/>
              <w:spacing w:after="0"/>
              <w:rPr>
                <w:sz w:val="20"/>
                <w:szCs w:val="20"/>
                <w:color w:val="auto"/>
              </w:rPr>
            </w:pPr>
            <w:r>
              <w:rPr>
                <w:rFonts w:ascii="Times New Roman" w:cs="Times New Roman" w:eastAsia="Times New Roman" w:hAnsi="Times New Roman"/>
                <w:sz w:val="13"/>
                <w:szCs w:val="13"/>
                <w:b w:val="1"/>
                <w:bCs w:val="1"/>
                <w:color w:val="auto"/>
                <w:w w:val="96"/>
              </w:rPr>
              <w:t>Products</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tcPr>
          <w:p>
            <w:pPr>
              <w:jc w:val="center"/>
              <w:ind w:right="380"/>
              <w:spacing w:after="0"/>
              <w:rPr>
                <w:sz w:val="20"/>
                <w:szCs w:val="20"/>
                <w:color w:val="auto"/>
              </w:rPr>
            </w:pPr>
            <w:r>
              <w:rPr>
                <w:rFonts w:ascii="Times New Roman" w:cs="Times New Roman" w:eastAsia="Times New Roman" w:hAnsi="Times New Roman"/>
                <w:sz w:val="13"/>
                <w:szCs w:val="13"/>
                <w:b w:val="1"/>
                <w:bCs w:val="1"/>
                <w:color w:val="auto"/>
                <w:w w:val="98"/>
              </w:rPr>
              <w:t>Energy</w:t>
            </w: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center"/>
              <w:ind w:right="51"/>
              <w:spacing w:after="0"/>
              <w:rPr>
                <w:sz w:val="20"/>
                <w:szCs w:val="20"/>
                <w:color w:val="auto"/>
              </w:rPr>
            </w:pPr>
            <w:r>
              <w:rPr>
                <w:rFonts w:ascii="Times New Roman" w:cs="Times New Roman" w:eastAsia="Times New Roman" w:hAnsi="Times New Roman"/>
                <w:sz w:val="13"/>
                <w:szCs w:val="13"/>
                <w:b w:val="1"/>
                <w:bCs w:val="1"/>
                <w:color w:val="auto"/>
                <w:w w:val="96"/>
              </w:rPr>
              <w:t>Products</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center"/>
              <w:ind w:right="50"/>
              <w:spacing w:after="0"/>
              <w:rPr>
                <w:sz w:val="20"/>
                <w:szCs w:val="20"/>
                <w:color w:val="auto"/>
              </w:rPr>
            </w:pPr>
            <w:r>
              <w:rPr>
                <w:rFonts w:ascii="Times New Roman" w:cs="Times New Roman" w:eastAsia="Times New Roman" w:hAnsi="Times New Roman"/>
                <w:sz w:val="13"/>
                <w:szCs w:val="13"/>
                <w:b w:val="1"/>
                <w:bCs w:val="1"/>
                <w:color w:val="auto"/>
                <w:w w:val="93"/>
              </w:rPr>
              <w:t>Energy</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6"/>
        </w:trPr>
        <w:tc>
          <w:tcPr>
            <w:tcW w:w="2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center"/>
              <w:ind w:right="31"/>
              <w:spacing w:after="0"/>
              <w:rPr>
                <w:sz w:val="20"/>
                <w:szCs w:val="20"/>
                <w:color w:val="auto"/>
              </w:rPr>
            </w:pPr>
            <w:r>
              <w:rPr>
                <w:rFonts w:ascii="Times New Roman" w:cs="Times New Roman" w:eastAsia="Times New Roman" w:hAnsi="Times New Roman"/>
                <w:sz w:val="13"/>
                <w:szCs w:val="13"/>
                <w:b w:val="1"/>
                <w:bCs w:val="1"/>
                <w:color w:val="auto"/>
                <w:w w:val="94"/>
              </w:rPr>
              <w:t>and Services</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tcPr>
          <w:p>
            <w:pPr>
              <w:jc w:val="center"/>
              <w:ind w:right="380"/>
              <w:spacing w:after="0"/>
              <w:rPr>
                <w:sz w:val="20"/>
                <w:szCs w:val="20"/>
                <w:color w:val="auto"/>
              </w:rPr>
            </w:pPr>
            <w:r>
              <w:rPr>
                <w:rFonts w:ascii="Times New Roman" w:cs="Times New Roman" w:eastAsia="Times New Roman" w:hAnsi="Times New Roman"/>
                <w:sz w:val="13"/>
                <w:szCs w:val="13"/>
                <w:b w:val="1"/>
                <w:bCs w:val="1"/>
                <w:color w:val="auto"/>
                <w:w w:val="96"/>
              </w:rPr>
              <w:t>Equipment</w:t>
            </w:r>
          </w:p>
        </w:tc>
        <w:tc>
          <w:tcPr>
            <w:tcW w:w="200" w:type="dxa"/>
            <w:vAlign w:val="bottom"/>
          </w:tcPr>
          <w:p>
            <w:pPr>
              <w:spacing w:after="0"/>
              <w:rPr>
                <w:sz w:val="14"/>
                <w:szCs w:val="14"/>
                <w:color w:val="auto"/>
              </w:rPr>
            </w:pPr>
          </w:p>
        </w:tc>
        <w:tc>
          <w:tcPr>
            <w:tcW w:w="960" w:type="dxa"/>
            <w:vAlign w:val="bottom"/>
            <w:gridSpan w:val="2"/>
          </w:tcPr>
          <w:p>
            <w:pPr>
              <w:jc w:val="right"/>
              <w:ind w:right="520"/>
              <w:spacing w:after="0"/>
              <w:rPr>
                <w:sz w:val="20"/>
                <w:szCs w:val="20"/>
                <w:color w:val="auto"/>
              </w:rPr>
            </w:pPr>
            <w:r>
              <w:rPr>
                <w:rFonts w:ascii="Times New Roman" w:cs="Times New Roman" w:eastAsia="Times New Roman" w:hAnsi="Times New Roman"/>
                <w:sz w:val="13"/>
                <w:szCs w:val="13"/>
                <w:b w:val="1"/>
                <w:bCs w:val="1"/>
                <w:color w:val="auto"/>
              </w:rPr>
              <w:t>Elims.</w:t>
            </w:r>
          </w:p>
        </w:tc>
        <w:tc>
          <w:tcPr>
            <w:tcW w:w="140" w:type="dxa"/>
            <w:vAlign w:val="bottom"/>
          </w:tcPr>
          <w:p>
            <w:pPr>
              <w:spacing w:after="0"/>
              <w:rPr>
                <w:sz w:val="14"/>
                <w:szCs w:val="14"/>
                <w:color w:val="auto"/>
              </w:rPr>
            </w:pPr>
          </w:p>
        </w:tc>
        <w:tc>
          <w:tcPr>
            <w:tcW w:w="800" w:type="dxa"/>
            <w:vAlign w:val="bottom"/>
          </w:tcPr>
          <w:p>
            <w:pPr>
              <w:jc w:val="right"/>
              <w:ind w:right="27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center"/>
              <w:ind w:right="31"/>
              <w:spacing w:after="0"/>
              <w:rPr>
                <w:sz w:val="20"/>
                <w:szCs w:val="20"/>
                <w:color w:val="auto"/>
              </w:rPr>
            </w:pPr>
            <w:r>
              <w:rPr>
                <w:rFonts w:ascii="Times New Roman" w:cs="Times New Roman" w:eastAsia="Times New Roman" w:hAnsi="Times New Roman"/>
                <w:sz w:val="13"/>
                <w:szCs w:val="13"/>
                <w:b w:val="1"/>
                <w:bCs w:val="1"/>
                <w:color w:val="auto"/>
                <w:w w:val="94"/>
              </w:rPr>
              <w:t>and Services</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center"/>
              <w:ind w:right="70"/>
              <w:spacing w:after="0"/>
              <w:rPr>
                <w:sz w:val="20"/>
                <w:szCs w:val="20"/>
                <w:color w:val="auto"/>
              </w:rPr>
            </w:pPr>
            <w:r>
              <w:rPr>
                <w:rFonts w:ascii="Times New Roman" w:cs="Times New Roman" w:eastAsia="Times New Roman" w:hAnsi="Times New Roman"/>
                <w:sz w:val="13"/>
                <w:szCs w:val="13"/>
                <w:b w:val="1"/>
                <w:bCs w:val="1"/>
                <w:color w:val="auto"/>
                <w:w w:val="96"/>
              </w:rPr>
              <w:t>Equipment</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gridSpan w:val="2"/>
          </w:tcPr>
          <w:p>
            <w:pPr>
              <w:jc w:val="right"/>
              <w:ind w:right="520"/>
              <w:spacing w:after="0"/>
              <w:rPr>
                <w:sz w:val="20"/>
                <w:szCs w:val="20"/>
                <w:color w:val="auto"/>
              </w:rPr>
            </w:pPr>
            <w:r>
              <w:rPr>
                <w:rFonts w:ascii="Times New Roman" w:cs="Times New Roman" w:eastAsia="Times New Roman" w:hAnsi="Times New Roman"/>
                <w:sz w:val="13"/>
                <w:szCs w:val="13"/>
                <w:b w:val="1"/>
                <w:bCs w:val="1"/>
                <w:color w:val="auto"/>
              </w:rPr>
              <w:t>Elims.</w:t>
            </w:r>
          </w:p>
        </w:tc>
        <w:tc>
          <w:tcPr>
            <w:tcW w:w="200" w:type="dxa"/>
            <w:vAlign w:val="bottom"/>
          </w:tcPr>
          <w:p>
            <w:pPr>
              <w:spacing w:after="0"/>
              <w:rPr>
                <w:sz w:val="14"/>
                <w:szCs w:val="14"/>
                <w:color w:val="auto"/>
              </w:rPr>
            </w:pPr>
          </w:p>
        </w:tc>
        <w:tc>
          <w:tcPr>
            <w:tcW w:w="840" w:type="dxa"/>
            <w:vAlign w:val="bottom"/>
            <w:gridSpan w:val="2"/>
          </w:tcPr>
          <w:p>
            <w:pPr>
              <w:jc w:val="right"/>
              <w:ind w:right="440"/>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71"/>
        </w:trPr>
        <w:tc>
          <w:tcPr>
            <w:tcW w:w="2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North America</w:t>
            </w: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1,071</w:t>
            </w:r>
          </w:p>
        </w:tc>
        <w:tc>
          <w:tcPr>
            <w:tcW w:w="260" w:type="dxa"/>
            <w:vAlign w:val="bottom"/>
          </w:tcPr>
          <w:p>
            <w:pPr>
              <w:spacing w:after="0"/>
              <w:rPr>
                <w:sz w:val="14"/>
                <w:szCs w:val="14"/>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597</w:t>
            </w:r>
          </w:p>
        </w:tc>
        <w:tc>
          <w:tcPr>
            <w:tcW w:w="240" w:type="dxa"/>
            <w:vAlign w:val="bottom"/>
          </w:tcPr>
          <w:p>
            <w:pPr>
              <w:spacing w:after="0"/>
              <w:rPr>
                <w:sz w:val="14"/>
                <w:szCs w:val="14"/>
                <w:color w:val="auto"/>
              </w:rPr>
            </w:pPr>
          </w:p>
        </w:tc>
        <w:tc>
          <w:tcPr>
            <w:tcW w:w="20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1,668</w:t>
            </w:r>
          </w:p>
        </w:tc>
        <w:tc>
          <w:tcPr>
            <w:tcW w:w="220" w:type="dxa"/>
            <w:vAlign w:val="bottom"/>
          </w:tcPr>
          <w:p>
            <w:pPr>
              <w:spacing w:after="0"/>
              <w:rPr>
                <w:sz w:val="14"/>
                <w:szCs w:val="14"/>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1,021</w:t>
            </w:r>
          </w:p>
        </w:tc>
        <w:tc>
          <w:tcPr>
            <w:tcW w:w="220" w:type="dxa"/>
            <w:vAlign w:val="bottom"/>
          </w:tcPr>
          <w:p>
            <w:pPr>
              <w:spacing w:after="0"/>
              <w:rPr>
                <w:sz w:val="14"/>
                <w:szCs w:val="14"/>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638</w:t>
            </w:r>
          </w:p>
        </w:tc>
        <w:tc>
          <w:tcPr>
            <w:tcW w:w="220" w:type="dxa"/>
            <w:vAlign w:val="bottom"/>
          </w:tcPr>
          <w:p>
            <w:pPr>
              <w:spacing w:after="0"/>
              <w:rPr>
                <w:sz w:val="14"/>
                <w:szCs w:val="14"/>
                <w:color w:val="auto"/>
              </w:rPr>
            </w:pPr>
          </w:p>
        </w:tc>
        <w:tc>
          <w:tcPr>
            <w:tcW w:w="20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20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1,659</w:t>
            </w:r>
          </w:p>
        </w:tc>
        <w:tc>
          <w:tcPr>
            <w:tcW w:w="100" w:type="dxa"/>
            <w:vAlign w:val="bottom"/>
          </w:tcPr>
          <w:p>
            <w:pPr>
              <w:spacing w:after="0"/>
              <w:rPr>
                <w:sz w:val="14"/>
                <w:szCs w:val="14"/>
                <w:color w:val="auto"/>
              </w:rPr>
            </w:pPr>
          </w:p>
        </w:tc>
      </w:tr>
      <w:tr>
        <w:trPr>
          <w:trHeight w:val="175"/>
        </w:trPr>
        <w:tc>
          <w:tcPr>
            <w:tcW w:w="2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International</w:t>
            </w:r>
          </w:p>
        </w:tc>
        <w:tc>
          <w:tcPr>
            <w:tcW w:w="10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949</w:t>
            </w:r>
          </w:p>
        </w:tc>
        <w:tc>
          <w:tcPr>
            <w:tcW w:w="2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1,754</w:t>
            </w:r>
          </w:p>
        </w:tc>
        <w:tc>
          <w:tcPr>
            <w:tcW w:w="2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2,703</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892</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1,504</w:t>
            </w:r>
          </w:p>
        </w:tc>
        <w:tc>
          <w:tcPr>
            <w:tcW w:w="2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2,396</w:t>
            </w:r>
          </w:p>
        </w:tc>
        <w:tc>
          <w:tcPr>
            <w:tcW w:w="100" w:type="dxa"/>
            <w:vAlign w:val="bottom"/>
            <w:shd w:val="clear" w:color="auto" w:fill="CFF0FC"/>
          </w:tcPr>
          <w:p>
            <w:pPr>
              <w:spacing w:after="0"/>
              <w:rPr>
                <w:sz w:val="15"/>
                <w:szCs w:val="15"/>
                <w:color w:val="auto"/>
              </w:rPr>
            </w:pPr>
          </w:p>
        </w:tc>
      </w:tr>
      <w:tr>
        <w:trPr>
          <w:trHeight w:val="175"/>
        </w:trPr>
        <w:tc>
          <w:tcPr>
            <w:tcW w:w="2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Eliminations</w:t>
            </w: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(78 )</w:t>
            </w:r>
          </w:p>
        </w:tc>
        <w:tc>
          <w:tcPr>
            <w:tcW w:w="1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(84 )</w:t>
            </w:r>
          </w:p>
        </w:tc>
        <w:tc>
          <w:tcPr>
            <w:tcW w:w="200" w:type="dxa"/>
            <w:vAlign w:val="bottom"/>
          </w:tcPr>
          <w:p>
            <w:pPr>
              <w:spacing w:after="0"/>
              <w:rPr>
                <w:sz w:val="15"/>
                <w:szCs w:val="15"/>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r>
      <w:tr>
        <w:trPr>
          <w:trHeight w:val="20"/>
        </w:trPr>
        <w:tc>
          <w:tcPr>
            <w:tcW w:w="20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200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2,067</w:t>
            </w: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2,382</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(78 )</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4,371</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1,970</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2,169</w:t>
            </w:r>
          </w:p>
        </w:tc>
        <w:tc>
          <w:tcPr>
            <w:tcW w:w="42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(84 )</w:t>
            </w:r>
          </w:p>
        </w:tc>
        <w:tc>
          <w:tcPr>
            <w:tcW w:w="2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4,055</w:t>
            </w:r>
          </w:p>
        </w:tc>
        <w:tc>
          <w:tcPr>
            <w:tcW w:w="100" w:type="dxa"/>
            <w:vAlign w:val="bottom"/>
            <w:shd w:val="clear" w:color="auto" w:fill="CFF0FC"/>
          </w:tcPr>
          <w:p>
            <w:pPr>
              <w:spacing w:after="0"/>
              <w:rPr>
                <w:sz w:val="18"/>
                <w:szCs w:val="18"/>
                <w:color w:val="auto"/>
              </w:rPr>
            </w:pPr>
          </w:p>
        </w:tc>
      </w:tr>
      <w:tr>
        <w:trPr>
          <w:trHeight w:val="156"/>
        </w:trPr>
        <w:tc>
          <w:tcPr>
            <w:tcW w:w="2000" w:type="dxa"/>
            <w:vAlign w:val="bottom"/>
            <w:tcBorders>
              <w:top w:val="single" w:sz="8" w:color="CFF0FC"/>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260" w:type="dxa"/>
            <w:vAlign w:val="bottom"/>
            <w:tcBorders>
              <w:top w:val="single" w:sz="8" w:color="CFF0FC"/>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240" w:type="dxa"/>
            <w:vAlign w:val="bottom"/>
            <w:tcBorders>
              <w:top w:val="single" w:sz="8" w:color="CFF0FC"/>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220" w:type="dxa"/>
            <w:vAlign w:val="bottom"/>
            <w:tcBorders>
              <w:top w:val="single" w:sz="8" w:color="CFF0FC"/>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220" w:type="dxa"/>
            <w:vAlign w:val="bottom"/>
            <w:tcBorders>
              <w:top w:val="single" w:sz="8" w:color="CFF0FC"/>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220" w:type="dxa"/>
            <w:vAlign w:val="bottom"/>
            <w:tcBorders>
              <w:top w:val="single" w:sz="8" w:color="CFF0FC"/>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220" w:type="dxa"/>
            <w:vAlign w:val="bottom"/>
            <w:tcBorders>
              <w:top w:val="single" w:sz="8" w:color="CFF0FC"/>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220" w:type="dxa"/>
            <w:vAlign w:val="bottom"/>
            <w:tcBorders>
              <w:top w:val="single" w:sz="8" w:color="CFF0FC"/>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100" w:type="dxa"/>
            <w:vAlign w:val="bottom"/>
            <w:tcBorders>
              <w:top w:val="single" w:sz="8" w:color="CFF0FC"/>
            </w:tcBorders>
          </w:tcPr>
          <w:p>
            <w:pPr>
              <w:spacing w:after="0"/>
              <w:rPr>
                <w:sz w:val="13"/>
                <w:szCs w:val="13"/>
                <w:color w:val="auto"/>
              </w:rPr>
            </w:pPr>
          </w:p>
        </w:tc>
      </w:tr>
      <w:tr>
        <w:trPr>
          <w:trHeight w:val="175"/>
        </w:trPr>
        <w:tc>
          <w:tcPr>
            <w:tcW w:w="2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Land</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1,549</w:t>
            </w: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887</w:t>
            </w:r>
          </w:p>
        </w:tc>
        <w:tc>
          <w:tcPr>
            <w:tcW w:w="240" w:type="dxa"/>
            <w:vAlign w:val="bottom"/>
            <w:shd w:val="clear" w:color="auto" w:fill="CFF0FC"/>
          </w:tcPr>
          <w:p>
            <w:pPr>
              <w:spacing w:after="0"/>
              <w:rPr>
                <w:sz w:val="15"/>
                <w:szCs w:val="15"/>
                <w:color w:val="auto"/>
              </w:rPr>
            </w:pPr>
          </w:p>
        </w:tc>
        <w:tc>
          <w:tcPr>
            <w:tcW w:w="2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2,436</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1,426</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928</w:t>
            </w:r>
          </w:p>
        </w:tc>
        <w:tc>
          <w:tcPr>
            <w:tcW w:w="42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2,354</w:t>
            </w:r>
          </w:p>
        </w:tc>
        <w:tc>
          <w:tcPr>
            <w:tcW w:w="100" w:type="dxa"/>
            <w:vAlign w:val="bottom"/>
            <w:shd w:val="clear" w:color="auto" w:fill="CFF0FC"/>
          </w:tcPr>
          <w:p>
            <w:pPr>
              <w:spacing w:after="0"/>
              <w:rPr>
                <w:sz w:val="15"/>
                <w:szCs w:val="15"/>
                <w:color w:val="auto"/>
              </w:rPr>
            </w:pPr>
          </w:p>
        </w:tc>
      </w:tr>
      <w:tr>
        <w:trPr>
          <w:trHeight w:val="175"/>
        </w:trPr>
        <w:tc>
          <w:tcPr>
            <w:tcW w:w="2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Offshore</w:t>
            </w: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471</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1,464</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1,935</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487</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1,214</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1,701</w:t>
            </w:r>
          </w:p>
        </w:tc>
        <w:tc>
          <w:tcPr>
            <w:tcW w:w="100" w:type="dxa"/>
            <w:vAlign w:val="bottom"/>
          </w:tcPr>
          <w:p>
            <w:pPr>
              <w:spacing w:after="0"/>
              <w:rPr>
                <w:sz w:val="15"/>
                <w:szCs w:val="15"/>
                <w:color w:val="auto"/>
              </w:rPr>
            </w:pPr>
          </w:p>
        </w:tc>
      </w:tr>
      <w:tr>
        <w:trPr>
          <w:trHeight w:val="175"/>
        </w:trPr>
        <w:tc>
          <w:tcPr>
            <w:tcW w:w="2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Eliminations</w:t>
            </w:r>
          </w:p>
        </w:tc>
        <w:tc>
          <w:tcPr>
            <w:tcW w:w="10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2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2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(78 )</w:t>
            </w:r>
          </w:p>
        </w:tc>
        <w:tc>
          <w:tcPr>
            <w:tcW w:w="14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2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(84 )</w:t>
            </w:r>
          </w:p>
        </w:tc>
        <w:tc>
          <w:tcPr>
            <w:tcW w:w="200" w:type="dxa"/>
            <w:vAlign w:val="bottom"/>
            <w:shd w:val="clear" w:color="auto" w:fill="CFF0FC"/>
          </w:tcPr>
          <w:p>
            <w:pPr>
              <w:spacing w:after="0"/>
              <w:rPr>
                <w:sz w:val="15"/>
                <w:szCs w:val="15"/>
                <w:color w:val="auto"/>
              </w:rPr>
            </w:pPr>
          </w:p>
        </w:tc>
        <w:tc>
          <w:tcPr>
            <w:tcW w:w="8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r>
      <w:tr>
        <w:trPr>
          <w:trHeight w:val="20"/>
        </w:trPr>
        <w:tc>
          <w:tcPr>
            <w:tcW w:w="20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69"/>
        </w:trPr>
        <w:tc>
          <w:tcPr>
            <w:tcW w:w="20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2,067</w:t>
            </w:r>
          </w:p>
        </w:tc>
        <w:tc>
          <w:tcPr>
            <w:tcW w:w="26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2,382</w:t>
            </w:r>
          </w:p>
        </w:tc>
        <w:tc>
          <w:tcPr>
            <w:tcW w:w="240" w:type="dxa"/>
            <w:vAlign w:val="bottom"/>
          </w:tcPr>
          <w:p>
            <w:pPr>
              <w:spacing w:after="0"/>
              <w:rPr>
                <w:sz w:val="14"/>
                <w:szCs w:val="14"/>
                <w:color w:val="auto"/>
              </w:rPr>
            </w:pP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(78 )</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4,371</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1,970</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2,169</w:t>
            </w:r>
          </w:p>
        </w:tc>
        <w:tc>
          <w:tcPr>
            <w:tcW w:w="42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(84 )</w:t>
            </w: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4,055</w:t>
            </w:r>
          </w:p>
        </w:tc>
        <w:tc>
          <w:tcPr>
            <w:tcW w:w="100" w:type="dxa"/>
            <w:vAlign w:val="bottom"/>
          </w:tcPr>
          <w:p>
            <w:pPr>
              <w:spacing w:after="0"/>
              <w:rPr>
                <w:sz w:val="14"/>
                <w:szCs w:val="14"/>
                <w:color w:val="auto"/>
              </w:rPr>
            </w:pPr>
          </w:p>
        </w:tc>
      </w:tr>
      <w:tr>
        <w:trPr>
          <w:trHeight w:val="20"/>
        </w:trPr>
        <w:tc>
          <w:tcPr>
            <w:tcW w:w="20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1871345</wp:posOffset>
            </wp:positionH>
            <wp:positionV relativeFrom="paragraph">
              <wp:posOffset>-2559685</wp:posOffset>
            </wp:positionV>
            <wp:extent cx="7683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2642235</wp:posOffset>
            </wp:positionH>
            <wp:positionV relativeFrom="paragraph">
              <wp:posOffset>-2559685</wp:posOffset>
            </wp:positionV>
            <wp:extent cx="7683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3387090</wp:posOffset>
            </wp:positionH>
            <wp:positionV relativeFrom="paragraph">
              <wp:posOffset>-2559685</wp:posOffset>
            </wp:positionV>
            <wp:extent cx="6858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4123690</wp:posOffset>
            </wp:positionH>
            <wp:positionV relativeFrom="paragraph">
              <wp:posOffset>-2559685</wp:posOffset>
            </wp:positionV>
            <wp:extent cx="6858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4859655</wp:posOffset>
            </wp:positionH>
            <wp:positionV relativeFrom="paragraph">
              <wp:posOffset>-2559685</wp:posOffset>
            </wp:positionV>
            <wp:extent cx="6858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5596255</wp:posOffset>
            </wp:positionH>
            <wp:positionV relativeFrom="paragraph">
              <wp:posOffset>-2559685</wp:posOffset>
            </wp:positionV>
            <wp:extent cx="6858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6332855</wp:posOffset>
            </wp:positionH>
            <wp:positionV relativeFrom="paragraph">
              <wp:posOffset>-2559685</wp:posOffset>
            </wp:positionV>
            <wp:extent cx="6858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-2559685</wp:posOffset>
            </wp:positionV>
            <wp:extent cx="6858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1871345</wp:posOffset>
            </wp:positionH>
            <wp:positionV relativeFrom="paragraph">
              <wp:posOffset>-1849120</wp:posOffset>
            </wp:positionV>
            <wp:extent cx="7683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1871345</wp:posOffset>
            </wp:positionH>
            <wp:positionV relativeFrom="paragraph">
              <wp:posOffset>-1831975</wp:posOffset>
            </wp:positionV>
            <wp:extent cx="7683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2642235</wp:posOffset>
            </wp:positionH>
            <wp:positionV relativeFrom="paragraph">
              <wp:posOffset>-1849120</wp:posOffset>
            </wp:positionV>
            <wp:extent cx="7683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2642235</wp:posOffset>
            </wp:positionH>
            <wp:positionV relativeFrom="paragraph">
              <wp:posOffset>-1831975</wp:posOffset>
            </wp:positionV>
            <wp:extent cx="7683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3387090</wp:posOffset>
            </wp:positionH>
            <wp:positionV relativeFrom="paragraph">
              <wp:posOffset>-1849120</wp:posOffset>
            </wp:positionV>
            <wp:extent cx="6858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3387090</wp:posOffset>
            </wp:positionH>
            <wp:positionV relativeFrom="paragraph">
              <wp:posOffset>-1831975</wp:posOffset>
            </wp:positionV>
            <wp:extent cx="6858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4123690</wp:posOffset>
            </wp:positionH>
            <wp:positionV relativeFrom="paragraph">
              <wp:posOffset>-1849120</wp:posOffset>
            </wp:positionV>
            <wp:extent cx="6858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4123690</wp:posOffset>
            </wp:positionH>
            <wp:positionV relativeFrom="paragraph">
              <wp:posOffset>-1831975</wp:posOffset>
            </wp:positionV>
            <wp:extent cx="6858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4859655</wp:posOffset>
            </wp:positionH>
            <wp:positionV relativeFrom="paragraph">
              <wp:posOffset>-1849120</wp:posOffset>
            </wp:positionV>
            <wp:extent cx="6858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4859655</wp:posOffset>
            </wp:positionH>
            <wp:positionV relativeFrom="paragraph">
              <wp:posOffset>-1831975</wp:posOffset>
            </wp:positionV>
            <wp:extent cx="6858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5596255</wp:posOffset>
            </wp:positionH>
            <wp:positionV relativeFrom="paragraph">
              <wp:posOffset>-1849120</wp:posOffset>
            </wp:positionV>
            <wp:extent cx="6858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5596255</wp:posOffset>
            </wp:positionH>
            <wp:positionV relativeFrom="paragraph">
              <wp:posOffset>-1831975</wp:posOffset>
            </wp:positionV>
            <wp:extent cx="6858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6332855</wp:posOffset>
            </wp:positionH>
            <wp:positionV relativeFrom="paragraph">
              <wp:posOffset>-1849120</wp:posOffset>
            </wp:positionV>
            <wp:extent cx="6858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6332855</wp:posOffset>
            </wp:positionH>
            <wp:positionV relativeFrom="paragraph">
              <wp:posOffset>-1831975</wp:posOffset>
            </wp:positionV>
            <wp:extent cx="6858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-1849120</wp:posOffset>
            </wp:positionV>
            <wp:extent cx="6858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-1831975</wp:posOffset>
            </wp:positionV>
            <wp:extent cx="6858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1871345</wp:posOffset>
            </wp:positionH>
            <wp:positionV relativeFrom="paragraph">
              <wp:posOffset>-615950</wp:posOffset>
            </wp:positionV>
            <wp:extent cx="76835"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1871345</wp:posOffset>
            </wp:positionH>
            <wp:positionV relativeFrom="paragraph">
              <wp:posOffset>-598805</wp:posOffset>
            </wp:positionV>
            <wp:extent cx="76835"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2642235</wp:posOffset>
            </wp:positionH>
            <wp:positionV relativeFrom="paragraph">
              <wp:posOffset>-615950</wp:posOffset>
            </wp:positionV>
            <wp:extent cx="76835"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2642235</wp:posOffset>
            </wp:positionH>
            <wp:positionV relativeFrom="paragraph">
              <wp:posOffset>-598805</wp:posOffset>
            </wp:positionV>
            <wp:extent cx="76835"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3387090</wp:posOffset>
            </wp:positionH>
            <wp:positionV relativeFrom="paragraph">
              <wp:posOffset>-615950</wp:posOffset>
            </wp:positionV>
            <wp:extent cx="6858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3387090</wp:posOffset>
            </wp:positionH>
            <wp:positionV relativeFrom="paragraph">
              <wp:posOffset>-598805</wp:posOffset>
            </wp:positionV>
            <wp:extent cx="6858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4123690</wp:posOffset>
            </wp:positionH>
            <wp:positionV relativeFrom="paragraph">
              <wp:posOffset>-615950</wp:posOffset>
            </wp:positionV>
            <wp:extent cx="6858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4123690</wp:posOffset>
            </wp:positionH>
            <wp:positionV relativeFrom="paragraph">
              <wp:posOffset>-598805</wp:posOffset>
            </wp:positionV>
            <wp:extent cx="6858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4859655</wp:posOffset>
            </wp:positionH>
            <wp:positionV relativeFrom="paragraph">
              <wp:posOffset>-615950</wp:posOffset>
            </wp:positionV>
            <wp:extent cx="6858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4859655</wp:posOffset>
            </wp:positionH>
            <wp:positionV relativeFrom="paragraph">
              <wp:posOffset>-598805</wp:posOffset>
            </wp:positionV>
            <wp:extent cx="6858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5596255</wp:posOffset>
            </wp:positionH>
            <wp:positionV relativeFrom="paragraph">
              <wp:posOffset>-615950</wp:posOffset>
            </wp:positionV>
            <wp:extent cx="6858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5596255</wp:posOffset>
            </wp:positionH>
            <wp:positionV relativeFrom="paragraph">
              <wp:posOffset>-598805</wp:posOffset>
            </wp:positionV>
            <wp:extent cx="6858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6332855</wp:posOffset>
            </wp:positionH>
            <wp:positionV relativeFrom="paragraph">
              <wp:posOffset>-615950</wp:posOffset>
            </wp:positionV>
            <wp:extent cx="6858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6332855</wp:posOffset>
            </wp:positionH>
            <wp:positionV relativeFrom="paragraph">
              <wp:posOffset>-598805</wp:posOffset>
            </wp:positionV>
            <wp:extent cx="6858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-615950</wp:posOffset>
            </wp:positionV>
            <wp:extent cx="6858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-598805</wp:posOffset>
            </wp:positionV>
            <wp:extent cx="6858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1871345</wp:posOffset>
            </wp:positionH>
            <wp:positionV relativeFrom="paragraph">
              <wp:posOffset>-144780</wp:posOffset>
            </wp:positionV>
            <wp:extent cx="76835"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2642235</wp:posOffset>
            </wp:positionH>
            <wp:positionV relativeFrom="paragraph">
              <wp:posOffset>-144780</wp:posOffset>
            </wp:positionV>
            <wp:extent cx="76835"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3387090</wp:posOffset>
            </wp:positionH>
            <wp:positionV relativeFrom="paragraph">
              <wp:posOffset>-144780</wp:posOffset>
            </wp:positionV>
            <wp:extent cx="6858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4123690</wp:posOffset>
            </wp:positionH>
            <wp:positionV relativeFrom="paragraph">
              <wp:posOffset>-144780</wp:posOffset>
            </wp:positionV>
            <wp:extent cx="6858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4859655</wp:posOffset>
            </wp:positionH>
            <wp:positionV relativeFrom="paragraph">
              <wp:posOffset>-144780</wp:posOffset>
            </wp:positionV>
            <wp:extent cx="6858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5596255</wp:posOffset>
            </wp:positionH>
            <wp:positionV relativeFrom="paragraph">
              <wp:posOffset>-144780</wp:posOffset>
            </wp:positionV>
            <wp:extent cx="6858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6332855</wp:posOffset>
            </wp:positionH>
            <wp:positionV relativeFrom="paragraph">
              <wp:posOffset>-144780</wp:posOffset>
            </wp:positionV>
            <wp:extent cx="6858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-144780</wp:posOffset>
            </wp:positionV>
            <wp:extent cx="6858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Performance Obligations</w:t>
      </w:r>
    </w:p>
    <w:p>
      <w:pPr>
        <w:spacing w:after="0" w:line="119"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Net revenue recognized from performance obligations satisfied in previous periods was $8 million for the three months ended June 30, 2024 primarily due to change orders.</w:t>
      </w:r>
    </w:p>
    <w:p>
      <w:pPr>
        <w:spacing w:after="0" w:line="5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Remaining performance obligations represent the transaction price of firm orders for all revenue streams for which work has not been performed on contracts with original expected duration of one year or more. We do not disclose the remaining performance obligations of royalty contracts, service contracts for which there is a right to invoice, and short-term contracts that are expected to have a duration of one year or less. As of June 30, 2024, the aggregate amount of the transaction price allocated to remaining performance obligations was $4,691 million. Although numerous factors can affect timing of revenue recognized on performance obligations, such as customer change orders and supplier accelerations or delays, the Company expects to recognize approximately $778 million in revenue for the remaining performance obligations in 2024, $1,316 million in 2025, $801 million in 2026, and $1,796 million thereafter.</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Assets and Liabilities</w:t>
      </w:r>
    </w:p>
    <w:p>
      <w:pPr>
        <w:spacing w:after="0" w:line="11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Contract assets include unbilled amounts when revenue recognized exceeds the amount billed to the customer under contracts where revenue is recognized over time. Contract liabilities consist of customer billings in excess of revenue recognized under over-time contracts, customer advance payments and deferred revenue.</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changes in the carrying amount of contract assets and contract liabilities are as follows (in millions):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2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1560" w:type="dxa"/>
            <w:vAlign w:val="bottom"/>
          </w:tcPr>
          <w:p>
            <w:pPr>
              <w:jc w:val="right"/>
              <w:ind w:right="142"/>
              <w:spacing w:after="0"/>
              <w:rPr>
                <w:sz w:val="20"/>
                <w:szCs w:val="20"/>
                <w:color w:val="auto"/>
              </w:rPr>
            </w:pPr>
            <w:r>
              <w:rPr>
                <w:rFonts w:ascii="Times New Roman" w:cs="Times New Roman" w:eastAsia="Times New Roman" w:hAnsi="Times New Roman"/>
                <w:sz w:val="14"/>
                <w:szCs w:val="14"/>
                <w:b w:val="1"/>
                <w:bCs w:val="1"/>
                <w:color w:val="auto"/>
              </w:rPr>
              <w:t>Contract</w:t>
            </w:r>
          </w:p>
        </w:tc>
        <w:tc>
          <w:tcPr>
            <w:tcW w:w="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780" w:type="dxa"/>
            <w:vAlign w:val="bottom"/>
            <w:gridSpan w:val="2"/>
          </w:tcPr>
          <w:p>
            <w:pPr>
              <w:jc w:val="right"/>
              <w:ind w:right="880"/>
              <w:spacing w:after="0"/>
              <w:rPr>
                <w:sz w:val="20"/>
                <w:szCs w:val="20"/>
                <w:color w:val="auto"/>
              </w:rPr>
            </w:pPr>
            <w:r>
              <w:rPr>
                <w:rFonts w:ascii="Times New Roman" w:cs="Times New Roman" w:eastAsia="Times New Roman" w:hAnsi="Times New Roman"/>
                <w:sz w:val="14"/>
                <w:szCs w:val="14"/>
                <w:b w:val="1"/>
                <w:bCs w:val="1"/>
                <w:color w:val="auto"/>
              </w:rPr>
              <w:t>Contract</w:t>
            </w:r>
          </w:p>
        </w:tc>
      </w:tr>
      <w:tr>
        <w:trPr>
          <w:trHeight w:val="187"/>
        </w:trPr>
        <w:tc>
          <w:tcPr>
            <w:tcW w:w="442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1560" w:type="dxa"/>
            <w:vAlign w:val="bottom"/>
            <w:tcBorders>
              <w:bottom w:val="single" w:sz="8" w:color="auto"/>
            </w:tcBorders>
          </w:tcPr>
          <w:p>
            <w:pPr>
              <w:jc w:val="right"/>
              <w:ind w:right="222"/>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560" w:type="dxa"/>
            <w:vAlign w:val="bottom"/>
            <w:tcBorders>
              <w:bottom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ind w:right="655"/>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100" w:type="dxa"/>
            <w:vAlign w:val="bottom"/>
          </w:tcPr>
          <w:p>
            <w:pPr>
              <w:spacing w:after="0"/>
              <w:rPr>
                <w:sz w:val="16"/>
                <w:szCs w:val="16"/>
                <w:color w:val="auto"/>
              </w:rPr>
            </w:pPr>
          </w:p>
        </w:tc>
      </w:tr>
      <w:tr>
        <w:trPr>
          <w:trHeight w:val="236"/>
        </w:trPr>
        <w:tc>
          <w:tcPr>
            <w:tcW w:w="4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3720" w:type="dxa"/>
            <w:vAlign w:val="bottom"/>
            <w:gridSpan w:val="2"/>
            <w:shd w:val="clear" w:color="auto" w:fill="CFF0FC"/>
          </w:tcPr>
          <w:p>
            <w:pPr>
              <w:jc w:val="right"/>
              <w:ind w:right="1362"/>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739</w:t>
            </w:r>
          </w:p>
        </w:tc>
        <w:tc>
          <w:tcPr>
            <w:tcW w:w="340" w:type="dxa"/>
            <w:vAlign w:val="bottom"/>
            <w:shd w:val="clear" w:color="auto" w:fill="CFF0FC"/>
          </w:tcPr>
          <w:p>
            <w:pPr>
              <w:spacing w:after="0"/>
              <w:rPr>
                <w:sz w:val="20"/>
                <w:szCs w:val="20"/>
                <w:color w:val="auto"/>
              </w:rPr>
            </w:pPr>
          </w:p>
        </w:tc>
        <w:tc>
          <w:tcPr>
            <w:tcW w:w="42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532</w:t>
            </w:r>
          </w:p>
        </w:tc>
        <w:tc>
          <w:tcPr>
            <w:tcW w:w="100" w:type="dxa"/>
            <w:vAlign w:val="bottom"/>
            <w:shd w:val="clear" w:color="auto" w:fill="CFF0FC"/>
          </w:tcPr>
          <w:p>
            <w:pPr>
              <w:spacing w:after="0"/>
              <w:rPr>
                <w:sz w:val="20"/>
                <w:szCs w:val="20"/>
                <w:color w:val="auto"/>
              </w:rPr>
            </w:pPr>
          </w:p>
        </w:tc>
      </w:tr>
      <w:tr>
        <w:trPr>
          <w:trHeight w:val="238"/>
        </w:trPr>
        <w:tc>
          <w:tcPr>
            <w:tcW w:w="4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Billings</w:t>
            </w:r>
          </w:p>
        </w:tc>
        <w:tc>
          <w:tcPr>
            <w:tcW w:w="21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(639 )</w:t>
            </w:r>
          </w:p>
        </w:tc>
        <w:tc>
          <w:tcPr>
            <w:tcW w:w="42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w:t>
            </w:r>
          </w:p>
        </w:tc>
        <w:tc>
          <w:tcPr>
            <w:tcW w:w="100" w:type="dxa"/>
            <w:vAlign w:val="bottom"/>
          </w:tcPr>
          <w:p>
            <w:pPr>
              <w:spacing w:after="0"/>
              <w:rPr>
                <w:sz w:val="20"/>
                <w:szCs w:val="20"/>
                <w:color w:val="auto"/>
              </w:rPr>
            </w:pPr>
          </w:p>
        </w:tc>
      </w:tr>
      <w:tr>
        <w:trPr>
          <w:trHeight w:val="247"/>
        </w:trPr>
        <w:tc>
          <w:tcPr>
            <w:tcW w:w="44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Revenue recognized</w:t>
            </w:r>
          </w:p>
        </w:tc>
        <w:tc>
          <w:tcPr>
            <w:tcW w:w="2160" w:type="dxa"/>
            <w:vAlign w:val="bottom"/>
            <w:shd w:val="clear" w:color="auto" w:fill="CFF0FC"/>
          </w:tcPr>
          <w:p>
            <w:pPr>
              <w:spacing w:after="0"/>
              <w:rPr>
                <w:sz w:val="21"/>
                <w:szCs w:val="21"/>
                <w:color w:val="auto"/>
              </w:rPr>
            </w:pPr>
          </w:p>
        </w:tc>
        <w:tc>
          <w:tcPr>
            <w:tcW w:w="1560" w:type="dxa"/>
            <w:vAlign w:val="bottom"/>
            <w:shd w:val="clear" w:color="auto" w:fill="CFF0FC"/>
          </w:tcPr>
          <w:p>
            <w:pPr>
              <w:spacing w:after="0"/>
              <w:rPr>
                <w:sz w:val="21"/>
                <w:szCs w:val="21"/>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710</w:t>
            </w:r>
          </w:p>
        </w:tc>
        <w:tc>
          <w:tcPr>
            <w:tcW w:w="34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7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(592 )</w:t>
            </w:r>
          </w:p>
        </w:tc>
      </w:tr>
      <w:tr>
        <w:trPr>
          <w:trHeight w:val="238"/>
        </w:trPr>
        <w:tc>
          <w:tcPr>
            <w:tcW w:w="4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Currency translation adjustments and other</w:t>
            </w:r>
          </w:p>
        </w:tc>
        <w:tc>
          <w:tcPr>
            <w:tcW w:w="21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(38 )</w:t>
            </w:r>
          </w:p>
        </w:tc>
        <w:tc>
          <w:tcPr>
            <w:tcW w:w="420" w:type="dxa"/>
            <w:vAlign w:val="bottom"/>
          </w:tcPr>
          <w:p>
            <w:pPr>
              <w:spacing w:after="0"/>
              <w:rPr>
                <w:sz w:val="20"/>
                <w:szCs w:val="20"/>
                <w:color w:val="auto"/>
              </w:rPr>
            </w:pPr>
          </w:p>
        </w:tc>
        <w:tc>
          <w:tcPr>
            <w:tcW w:w="1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(14 )</w:t>
            </w:r>
          </w:p>
        </w:tc>
      </w:tr>
      <w:tr>
        <w:trPr>
          <w:trHeight w:val="276"/>
        </w:trPr>
        <w:tc>
          <w:tcPr>
            <w:tcW w:w="44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June 30, 2024</w:t>
            </w:r>
          </w:p>
        </w:tc>
        <w:tc>
          <w:tcPr>
            <w:tcW w:w="2160" w:type="dxa"/>
            <w:vAlign w:val="bottom"/>
            <w:tcBorders>
              <w:bottom w:val="single" w:sz="8" w:color="CFF0FC"/>
            </w:tcBorders>
            <w:shd w:val="clear" w:color="auto" w:fill="CFF0FC"/>
          </w:tcPr>
          <w:p>
            <w:pPr>
              <w:spacing w:after="0"/>
              <w:rPr>
                <w:sz w:val="24"/>
                <w:szCs w:val="24"/>
                <w:color w:val="auto"/>
              </w:rPr>
            </w:pPr>
          </w:p>
        </w:tc>
        <w:tc>
          <w:tcPr>
            <w:tcW w:w="1560" w:type="dxa"/>
            <w:vAlign w:val="bottom"/>
            <w:tcBorders>
              <w:top w:val="single" w:sz="8" w:color="auto"/>
              <w:bottom w:val="single" w:sz="8" w:color="auto"/>
            </w:tcBorders>
            <w:shd w:val="clear" w:color="auto" w:fill="CFF0FC"/>
          </w:tcPr>
          <w:p>
            <w:pPr>
              <w:jc w:val="right"/>
              <w:ind w:right="1362"/>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772</w:t>
            </w:r>
          </w:p>
        </w:tc>
        <w:tc>
          <w:tcPr>
            <w:tcW w:w="340" w:type="dxa"/>
            <w:vAlign w:val="bottom"/>
            <w:tcBorders>
              <w:bottom w:val="single" w:sz="8" w:color="CFF0FC"/>
            </w:tcBorders>
            <w:shd w:val="clear" w:color="auto" w:fill="CFF0FC"/>
          </w:tcPr>
          <w:p>
            <w:pPr>
              <w:spacing w:after="0"/>
              <w:rPr>
                <w:sz w:val="24"/>
                <w:szCs w:val="24"/>
                <w:color w:val="auto"/>
              </w:rPr>
            </w:pPr>
          </w:p>
        </w:tc>
        <w:tc>
          <w:tcPr>
            <w:tcW w:w="420" w:type="dxa"/>
            <w:vAlign w:val="bottom"/>
            <w:tcBorders>
              <w:top w:val="single" w:sz="8" w:color="auto"/>
              <w:bottom w:val="single" w:sz="8" w:color="auto"/>
            </w:tcBorders>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508</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632"/>
        </w:trPr>
        <w:tc>
          <w:tcPr>
            <w:tcW w:w="4420" w:type="dxa"/>
            <w:vAlign w:val="bottom"/>
          </w:tcPr>
          <w:p>
            <w:pPr>
              <w:spacing w:after="0"/>
              <w:rPr>
                <w:sz w:val="24"/>
                <w:szCs w:val="24"/>
                <w:color w:val="auto"/>
              </w:rPr>
            </w:pPr>
          </w:p>
        </w:tc>
        <w:tc>
          <w:tcPr>
            <w:tcW w:w="216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rPr>
              <w:t>10</w:t>
            </w:r>
          </w:p>
        </w:tc>
        <w:tc>
          <w:tcPr>
            <w:tcW w:w="1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49"/>
        </w:trPr>
        <w:tc>
          <w:tcPr>
            <w:tcW w:w="4420" w:type="dxa"/>
            <w:vAlign w:val="bottom"/>
            <w:tcBorders>
              <w:bottom w:val="single" w:sz="8" w:color="9A9A9A"/>
            </w:tcBorders>
          </w:tcPr>
          <w:p>
            <w:pPr>
              <w:spacing w:after="0"/>
              <w:rPr>
                <w:sz w:val="24"/>
                <w:szCs w:val="24"/>
                <w:color w:val="auto"/>
              </w:rPr>
            </w:pPr>
          </w:p>
        </w:tc>
        <w:tc>
          <w:tcPr>
            <w:tcW w:w="216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5527675</wp:posOffset>
            </wp:positionH>
            <wp:positionV relativeFrom="paragraph">
              <wp:posOffset>-923925</wp:posOffset>
            </wp:positionV>
            <wp:extent cx="76835"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5527675</wp:posOffset>
            </wp:positionH>
            <wp:positionV relativeFrom="paragraph">
              <wp:posOffset>-906780</wp:posOffset>
            </wp:positionV>
            <wp:extent cx="76835"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-923925</wp:posOffset>
            </wp:positionV>
            <wp:extent cx="6858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-906780</wp:posOffset>
            </wp:positionV>
            <wp:extent cx="6858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i w:val="1"/>
          <w:iCs w:val="1"/>
          <w:color w:val="auto"/>
        </w:rPr>
        <w:t>Royalty Revenue</w:t>
      </w:r>
    </w:p>
    <w:p>
      <w:pPr>
        <w:spacing w:after="0" w:line="1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recognizes royalty revenue due under various licenses for the Company's intellectual property, including for technology related to drill bits. The Company recognized revenue for drill bit licenses of approximately $17 million and $33 million for the three and six months ended June 30, 2024, and $21 million and $41 million for the three and six months ended June 30, 2023. The Company is currently pursuing litigation against certain non-paying licensees, which will impact our ability to collect the receivables timely. As such, revenue and the related receivables are recorded at a discount to reflect the delayed timing of future cash collections. As of June 30, 2024, the receivables of $96 million, net of allowances of $17 million for credit losses and $18 million for the remaining timing related discount, are included in Other assets on the Consolidated Balance Sheets. These allowances do not impact the amount the Company is entitled to recover on its claims from the licensees in litigation. While we continue to believe it is probable the Company will collect all or substantially all of the consideration to which it is entitled pursuant to the terms of the licensing agreements, the Company will also continue to evaluate the credit quality of the receivables. See Note 15 for discussion of the ongoing litigation.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Allowance for Credit Losses</w:t>
      </w:r>
    </w:p>
    <w:p>
      <w:pPr>
        <w:spacing w:after="0" w:line="11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Company estimates its allowance for credit losses using information about past events, current conditions and risk characteristics of each customer, and reasonable and supportable forecasts relevant to assessing risk associated with the collectability of receivables and contract assets. The Company’s customer base, mostly in the oil and gas industry, have generally similar collectability risk characteristics, although larger and state-owned customers may have lower risk than smaller independent customers. As of June 30, 2024, the allowance for credit losses totaled $73 million.</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changes in the carrying amount of the allowance for credit losses are as follows (in millions):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9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880" w:type="dxa"/>
            <w:vAlign w:val="bottom"/>
            <w:shd w:val="clear" w:color="auto" w:fill="CFF0FC"/>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shd w:val="clear" w:color="auto" w:fill="CFF0FC"/>
          </w:tcPr>
          <w:p>
            <w:pPr>
              <w:spacing w:after="0"/>
              <w:rPr>
                <w:sz w:val="21"/>
                <w:szCs w:val="21"/>
                <w:color w:val="auto"/>
              </w:rPr>
            </w:pPr>
          </w:p>
        </w:tc>
      </w:tr>
      <w:tr>
        <w:trPr>
          <w:trHeight w:val="238"/>
        </w:trPr>
        <w:tc>
          <w:tcPr>
            <w:tcW w:w="9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Provision for expected credit losses</w:t>
            </w:r>
          </w:p>
        </w:tc>
        <w:tc>
          <w:tcPr>
            <w:tcW w:w="8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20"/>
                <w:szCs w:val="20"/>
                <w:color w:val="auto"/>
              </w:rPr>
            </w:pPr>
          </w:p>
        </w:tc>
      </w:tr>
      <w:tr>
        <w:trPr>
          <w:trHeight w:val="247"/>
        </w:trPr>
        <w:tc>
          <w:tcPr>
            <w:tcW w:w="92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Recoveries collected</w:t>
            </w:r>
          </w:p>
        </w:tc>
        <w:tc>
          <w:tcPr>
            <w:tcW w:w="88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(8 )</w:t>
            </w:r>
          </w:p>
        </w:tc>
      </w:tr>
      <w:tr>
        <w:trPr>
          <w:trHeight w:val="238"/>
        </w:trPr>
        <w:tc>
          <w:tcPr>
            <w:tcW w:w="9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w:t>
            </w:r>
          </w:p>
        </w:tc>
        <w:tc>
          <w:tcPr>
            <w:tcW w:w="880" w:type="dxa"/>
            <w:vAlign w:val="bottom"/>
          </w:tcPr>
          <w:p>
            <w:pPr>
              <w:spacing w:after="0"/>
              <w:rPr>
                <w:sz w:val="20"/>
                <w:szCs w:val="20"/>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(15 )</w:t>
            </w:r>
          </w:p>
        </w:tc>
      </w:tr>
      <w:tr>
        <w:trPr>
          <w:trHeight w:val="276"/>
        </w:trPr>
        <w:tc>
          <w:tcPr>
            <w:tcW w:w="92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June 30, 2024</w:t>
            </w:r>
          </w:p>
        </w:tc>
        <w:tc>
          <w:tcPr>
            <w:tcW w:w="880" w:type="dxa"/>
            <w:vAlign w:val="bottom"/>
            <w:tcBorders>
              <w:top w:val="single" w:sz="8" w:color="auto"/>
              <w:bottom w:val="single" w:sz="8" w:color="auto"/>
            </w:tcBorders>
            <w:shd w:val="clear" w:color="auto" w:fill="CFF0FC"/>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ind w:left="360" w:hanging="352"/>
        <w:spacing w:after="0"/>
        <w:tabs>
          <w:tab w:leader="none" w:pos="36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leases certain facilities and equipment to support its operations around the world. These leases generally require the Company to pay maintenance, insurance, taxes and other operating costs in addition to rent. Renewal options are common in longer term leases; however, it is rare that the Company initially intends that a lease option will be exercised due to the cyclical nature of the Company’s business. Residual value guarantees are not typically part of the Company’s leases. Occasionally, the Company sub-leases excess facility space, generally at terms similar to the source lease. The Company reviews agreements at inception to determine if they include a lease and, when they do, uses its incremental borrowing rate to determine the present value of the future lease payments as most do not include implicit interest rates.</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Components of leases are as follows (in millions):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414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1180" w:type="dxa"/>
            <w:vAlign w:val="bottom"/>
          </w:tcPr>
          <w:p>
            <w:pPr>
              <w:jc w:val="center"/>
              <w:ind w:left="322"/>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87"/>
        </w:trPr>
        <w:tc>
          <w:tcPr>
            <w:tcW w:w="4140" w:type="dxa"/>
            <w:vAlign w:val="bottom"/>
          </w:tcPr>
          <w:p>
            <w:pPr>
              <w:spacing w:after="0"/>
              <w:rPr>
                <w:sz w:val="16"/>
                <w:szCs w:val="16"/>
                <w:color w:val="auto"/>
              </w:rPr>
            </w:pPr>
          </w:p>
        </w:tc>
        <w:tc>
          <w:tcPr>
            <w:tcW w:w="4760" w:type="dxa"/>
            <w:vAlign w:val="bottom"/>
            <w:gridSpan w:val="2"/>
          </w:tcPr>
          <w:p>
            <w:pPr>
              <w:jc w:val="center"/>
              <w:ind w:left="3896"/>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tcPr>
          <w:p>
            <w:pPr>
              <w:jc w:val="center"/>
              <w:ind w:right="157"/>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4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i w:val="1"/>
                <w:iCs w:val="1"/>
                <w:color w:val="auto"/>
              </w:rPr>
              <w:t>Current portion of lease liabilities:</w:t>
            </w:r>
          </w:p>
        </w:tc>
        <w:tc>
          <w:tcPr>
            <w:tcW w:w="3580" w:type="dxa"/>
            <w:vAlign w:val="bottom"/>
            <w:shd w:val="clear" w:color="auto" w:fill="CFF0FC"/>
          </w:tcPr>
          <w:p>
            <w:pPr>
              <w:spacing w:after="0"/>
              <w:rPr>
                <w:sz w:val="20"/>
                <w:szCs w:val="20"/>
                <w:color w:val="auto"/>
              </w:rPr>
            </w:pPr>
          </w:p>
        </w:tc>
        <w:tc>
          <w:tcPr>
            <w:tcW w:w="1180" w:type="dxa"/>
            <w:vAlign w:val="bottom"/>
            <w:tcBorders>
              <w:top w:val="single" w:sz="8" w:color="auto"/>
            </w:tcBorders>
            <w:shd w:val="clear" w:color="auto" w:fill="CFF0FC"/>
          </w:tcPr>
          <w:p>
            <w:pPr>
              <w:spacing w:after="0"/>
              <w:rPr>
                <w:sz w:val="20"/>
                <w:szCs w:val="20"/>
                <w:color w:val="auto"/>
              </w:rPr>
            </w:pPr>
          </w:p>
        </w:tc>
        <w:tc>
          <w:tcPr>
            <w:tcW w:w="400" w:type="dxa"/>
            <w:vAlign w:val="bottom"/>
            <w:tcBorders>
              <w:top w:val="single" w:sz="8" w:color="auto"/>
            </w:tcBorders>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spacing w:after="0"/>
              <w:rPr>
                <w:sz w:val="20"/>
                <w:szCs w:val="20"/>
                <w:color w:val="auto"/>
              </w:rPr>
            </w:pPr>
          </w:p>
        </w:tc>
        <w:tc>
          <w:tcPr>
            <w:tcW w:w="132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4140" w:type="dxa"/>
            <w:vAlign w:val="bottom"/>
          </w:tcPr>
          <w:p>
            <w:pPr>
              <w:jc w:val="center"/>
              <w:ind w:right="2930"/>
              <w:spacing w:after="0"/>
              <w:rPr>
                <w:sz w:val="20"/>
                <w:szCs w:val="20"/>
                <w:color w:val="auto"/>
              </w:rPr>
            </w:pPr>
            <w:r>
              <w:rPr>
                <w:rFonts w:ascii="Times New Roman" w:cs="Times New Roman" w:eastAsia="Times New Roman" w:hAnsi="Times New Roman"/>
                <w:sz w:val="18"/>
                <w:szCs w:val="18"/>
                <w:color w:val="auto"/>
                <w:w w:val="99"/>
              </w:rPr>
              <w:t>Operating</w:t>
            </w:r>
          </w:p>
        </w:tc>
        <w:tc>
          <w:tcPr>
            <w:tcW w:w="4760" w:type="dxa"/>
            <w:vAlign w:val="bottom"/>
            <w:gridSpan w:val="2"/>
          </w:tcPr>
          <w:p>
            <w:pPr>
              <w:jc w:val="right"/>
              <w:ind w:right="1002"/>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5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140" w:type="dxa"/>
            <w:vAlign w:val="bottom"/>
            <w:tcBorders>
              <w:bottom w:val="single" w:sz="8" w:color="CFF0FC"/>
            </w:tcBorders>
            <w:shd w:val="clear" w:color="auto" w:fill="CFF0FC"/>
          </w:tcPr>
          <w:p>
            <w:pPr>
              <w:jc w:val="center"/>
              <w:ind w:right="2930"/>
              <w:spacing w:after="0"/>
              <w:rPr>
                <w:sz w:val="20"/>
                <w:szCs w:val="20"/>
                <w:color w:val="auto"/>
              </w:rPr>
            </w:pPr>
            <w:r>
              <w:rPr>
                <w:rFonts w:ascii="Times New Roman" w:cs="Times New Roman" w:eastAsia="Times New Roman" w:hAnsi="Times New Roman"/>
                <w:sz w:val="18"/>
                <w:szCs w:val="18"/>
                <w:color w:val="auto"/>
                <w:w w:val="99"/>
              </w:rPr>
              <w:t>Financing</w:t>
            </w:r>
          </w:p>
        </w:tc>
        <w:tc>
          <w:tcPr>
            <w:tcW w:w="3580" w:type="dxa"/>
            <w:vAlign w:val="bottom"/>
            <w:tcBorders>
              <w:bottom w:val="single" w:sz="8" w:color="CFF0FC"/>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spacing w:after="0"/>
              <w:rPr>
                <w:sz w:val="21"/>
                <w:szCs w:val="21"/>
                <w:color w:val="auto"/>
              </w:rPr>
            </w:pPr>
          </w:p>
        </w:tc>
        <w:tc>
          <w:tcPr>
            <w:tcW w:w="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4140" w:type="dxa"/>
            <w:vAlign w:val="bottom"/>
          </w:tcPr>
          <w:p>
            <w:pPr>
              <w:jc w:val="center"/>
              <w:ind w:right="2930"/>
              <w:spacing w:after="0"/>
              <w:rPr>
                <w:sz w:val="20"/>
                <w:szCs w:val="20"/>
                <w:color w:val="auto"/>
              </w:rPr>
            </w:pPr>
            <w:r>
              <w:rPr>
                <w:rFonts w:ascii="Times New Roman" w:cs="Times New Roman" w:eastAsia="Times New Roman" w:hAnsi="Times New Roman"/>
                <w:sz w:val="18"/>
                <w:szCs w:val="18"/>
                <w:color w:val="auto"/>
                <w:w w:val="94"/>
              </w:rPr>
              <w:t>Total</w:t>
            </w:r>
          </w:p>
        </w:tc>
        <w:tc>
          <w:tcPr>
            <w:tcW w:w="3580" w:type="dxa"/>
            <w:vAlign w:val="bottom"/>
          </w:tcPr>
          <w:p>
            <w:pPr>
              <w:spacing w:after="0"/>
              <w:rPr>
                <w:sz w:val="20"/>
                <w:szCs w:val="20"/>
                <w:color w:val="auto"/>
              </w:rPr>
            </w:pPr>
          </w:p>
        </w:tc>
        <w:tc>
          <w:tcPr>
            <w:tcW w:w="1180" w:type="dxa"/>
            <w:vAlign w:val="bottom"/>
            <w:tcBorders>
              <w:bottom w:val="single" w:sz="8" w:color="auto"/>
            </w:tcBorders>
          </w:tcPr>
          <w:p>
            <w:pPr>
              <w:jc w:val="right"/>
              <w:ind w:right="1002"/>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280" w:type="dxa"/>
            <w:vAlign w:val="bottom"/>
          </w:tcPr>
          <w:p>
            <w:pPr>
              <w:spacing w:after="0"/>
              <w:rPr>
                <w:sz w:val="20"/>
                <w:szCs w:val="20"/>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2"/>
        </w:trPr>
        <w:tc>
          <w:tcPr>
            <w:tcW w:w="414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1180" w:type="dxa"/>
            <w:vAlign w:val="bottom"/>
          </w:tcPr>
          <w:p>
            <w:pPr>
              <w:jc w:val="center"/>
              <w:ind w:left="322"/>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228"/>
        </w:trPr>
        <w:tc>
          <w:tcPr>
            <w:tcW w:w="4140" w:type="dxa"/>
            <w:vAlign w:val="bottom"/>
          </w:tcPr>
          <w:p>
            <w:pPr>
              <w:spacing w:after="0"/>
              <w:rPr>
                <w:sz w:val="19"/>
                <w:szCs w:val="19"/>
                <w:color w:val="auto"/>
              </w:rPr>
            </w:pPr>
          </w:p>
        </w:tc>
        <w:tc>
          <w:tcPr>
            <w:tcW w:w="4760" w:type="dxa"/>
            <w:vAlign w:val="bottom"/>
            <w:gridSpan w:val="2"/>
          </w:tcPr>
          <w:p>
            <w:pPr>
              <w:jc w:val="center"/>
              <w:ind w:left="3896"/>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center"/>
              <w:ind w:right="157"/>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4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i w:val="1"/>
                <w:iCs w:val="1"/>
                <w:color w:val="auto"/>
              </w:rPr>
              <w:t>Long-term portion of lease liabilities:</w:t>
            </w:r>
          </w:p>
        </w:tc>
        <w:tc>
          <w:tcPr>
            <w:tcW w:w="3580" w:type="dxa"/>
            <w:vAlign w:val="bottom"/>
            <w:shd w:val="clear" w:color="auto" w:fill="CFF0FC"/>
          </w:tcPr>
          <w:p>
            <w:pPr>
              <w:spacing w:after="0"/>
              <w:rPr>
                <w:sz w:val="20"/>
                <w:szCs w:val="20"/>
                <w:color w:val="auto"/>
              </w:rPr>
            </w:pPr>
          </w:p>
        </w:tc>
        <w:tc>
          <w:tcPr>
            <w:tcW w:w="1180" w:type="dxa"/>
            <w:vAlign w:val="bottom"/>
            <w:tcBorders>
              <w:top w:val="single" w:sz="8" w:color="auto"/>
            </w:tcBorders>
            <w:shd w:val="clear" w:color="auto" w:fill="CFF0FC"/>
          </w:tcPr>
          <w:p>
            <w:pPr>
              <w:spacing w:after="0"/>
              <w:rPr>
                <w:sz w:val="20"/>
                <w:szCs w:val="20"/>
                <w:color w:val="auto"/>
              </w:rPr>
            </w:pPr>
          </w:p>
        </w:tc>
        <w:tc>
          <w:tcPr>
            <w:tcW w:w="400" w:type="dxa"/>
            <w:vAlign w:val="bottom"/>
            <w:tcBorders>
              <w:top w:val="single" w:sz="8" w:color="auto"/>
            </w:tcBorders>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spacing w:after="0"/>
              <w:rPr>
                <w:sz w:val="20"/>
                <w:szCs w:val="20"/>
                <w:color w:val="auto"/>
              </w:rPr>
            </w:pPr>
          </w:p>
        </w:tc>
        <w:tc>
          <w:tcPr>
            <w:tcW w:w="132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4140" w:type="dxa"/>
            <w:vAlign w:val="bottom"/>
          </w:tcPr>
          <w:p>
            <w:pPr>
              <w:jc w:val="center"/>
              <w:ind w:right="2930"/>
              <w:spacing w:after="0"/>
              <w:rPr>
                <w:sz w:val="20"/>
                <w:szCs w:val="20"/>
                <w:color w:val="auto"/>
              </w:rPr>
            </w:pPr>
            <w:r>
              <w:rPr>
                <w:rFonts w:ascii="Times New Roman" w:cs="Times New Roman" w:eastAsia="Times New Roman" w:hAnsi="Times New Roman"/>
                <w:sz w:val="18"/>
                <w:szCs w:val="18"/>
                <w:color w:val="auto"/>
                <w:w w:val="99"/>
              </w:rPr>
              <w:t>Operating</w:t>
            </w:r>
          </w:p>
        </w:tc>
        <w:tc>
          <w:tcPr>
            <w:tcW w:w="4760" w:type="dxa"/>
            <w:vAlign w:val="bottom"/>
            <w:gridSpan w:val="2"/>
          </w:tcPr>
          <w:p>
            <w:pPr>
              <w:jc w:val="right"/>
              <w:ind w:right="1002"/>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5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140" w:type="dxa"/>
            <w:vAlign w:val="bottom"/>
            <w:tcBorders>
              <w:bottom w:val="single" w:sz="8" w:color="CFF0FC"/>
            </w:tcBorders>
            <w:shd w:val="clear" w:color="auto" w:fill="CFF0FC"/>
          </w:tcPr>
          <w:p>
            <w:pPr>
              <w:jc w:val="center"/>
              <w:ind w:right="2930"/>
              <w:spacing w:after="0"/>
              <w:rPr>
                <w:sz w:val="20"/>
                <w:szCs w:val="20"/>
                <w:color w:val="auto"/>
              </w:rPr>
            </w:pPr>
            <w:r>
              <w:rPr>
                <w:rFonts w:ascii="Times New Roman" w:cs="Times New Roman" w:eastAsia="Times New Roman" w:hAnsi="Times New Roman"/>
                <w:sz w:val="18"/>
                <w:szCs w:val="18"/>
                <w:color w:val="auto"/>
                <w:w w:val="99"/>
              </w:rPr>
              <w:t>Financing</w:t>
            </w:r>
          </w:p>
        </w:tc>
        <w:tc>
          <w:tcPr>
            <w:tcW w:w="3580" w:type="dxa"/>
            <w:vAlign w:val="bottom"/>
            <w:tcBorders>
              <w:bottom w:val="single" w:sz="8" w:color="CFF0FC"/>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spacing w:after="0"/>
              <w:rPr>
                <w:sz w:val="21"/>
                <w:szCs w:val="21"/>
                <w:color w:val="auto"/>
              </w:rPr>
            </w:pPr>
          </w:p>
        </w:tc>
        <w:tc>
          <w:tcPr>
            <w:tcW w:w="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2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4140" w:type="dxa"/>
            <w:vAlign w:val="bottom"/>
          </w:tcPr>
          <w:p>
            <w:pPr>
              <w:jc w:val="center"/>
              <w:ind w:right="2930"/>
              <w:spacing w:after="0"/>
              <w:rPr>
                <w:sz w:val="20"/>
                <w:szCs w:val="20"/>
                <w:color w:val="auto"/>
              </w:rPr>
            </w:pPr>
            <w:r>
              <w:rPr>
                <w:rFonts w:ascii="Times New Roman" w:cs="Times New Roman" w:eastAsia="Times New Roman" w:hAnsi="Times New Roman"/>
                <w:sz w:val="18"/>
                <w:szCs w:val="18"/>
                <w:color w:val="auto"/>
                <w:w w:val="94"/>
              </w:rPr>
              <w:t>Total</w:t>
            </w:r>
          </w:p>
        </w:tc>
        <w:tc>
          <w:tcPr>
            <w:tcW w:w="4760" w:type="dxa"/>
            <w:vAlign w:val="bottom"/>
            <w:gridSpan w:val="2"/>
          </w:tcPr>
          <w:p>
            <w:pPr>
              <w:jc w:val="right"/>
              <w:ind w:right="1002"/>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w:t>
            </w:r>
          </w:p>
        </w:tc>
        <w:tc>
          <w:tcPr>
            <w:tcW w:w="5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3580" w:type="dxa"/>
            <w:vAlign w:val="bottom"/>
            <w:vMerge w:val="restart"/>
          </w:tcPr>
          <w:p>
            <w:pPr>
              <w:jc w:val="right"/>
              <w:ind w:right="1916"/>
              <w:spacing w:after="0"/>
              <w:rPr>
                <w:sz w:val="20"/>
                <w:szCs w:val="20"/>
                <w:color w:val="auto"/>
              </w:rPr>
            </w:pPr>
            <w:r>
              <w:rPr>
                <w:rFonts w:ascii="Times New Roman" w:cs="Times New Roman" w:eastAsia="Times New Roman" w:hAnsi="Times New Roman"/>
                <w:sz w:val="18"/>
                <w:szCs w:val="18"/>
                <w:color w:val="auto"/>
              </w:rPr>
              <w:t>11</w:t>
            </w:r>
          </w:p>
        </w:tc>
        <w:tc>
          <w:tcPr>
            <w:tcW w:w="11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4"/>
        </w:trPr>
        <w:tc>
          <w:tcPr>
            <w:tcW w:w="4140" w:type="dxa"/>
            <w:vAlign w:val="bottom"/>
          </w:tcPr>
          <w:p>
            <w:pPr>
              <w:spacing w:after="0"/>
              <w:rPr>
                <w:sz w:val="24"/>
                <w:szCs w:val="24"/>
                <w:color w:val="auto"/>
              </w:rPr>
            </w:pPr>
          </w:p>
        </w:tc>
        <w:tc>
          <w:tcPr>
            <w:tcW w:w="3580" w:type="dxa"/>
            <w:vAlign w:val="bottom"/>
            <w:vMerge w:val="continue"/>
          </w:tcPr>
          <w:p>
            <w:pPr>
              <w:spacing w:after="0"/>
              <w:rPr>
                <w:sz w:val="24"/>
                <w:szCs w:val="24"/>
                <w:color w:val="auto"/>
              </w:rPr>
            </w:pPr>
          </w:p>
        </w:tc>
        <w:tc>
          <w:tcPr>
            <w:tcW w:w="1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2"/>
        </w:trPr>
        <w:tc>
          <w:tcPr>
            <w:tcW w:w="4140" w:type="dxa"/>
            <w:vAlign w:val="bottom"/>
            <w:tcBorders>
              <w:bottom w:val="single" w:sz="8" w:color="9A9A9A"/>
            </w:tcBorders>
          </w:tcPr>
          <w:p>
            <w:pPr>
              <w:spacing w:after="0"/>
              <w:rPr>
                <w:sz w:val="24"/>
                <w:szCs w:val="24"/>
                <w:color w:val="auto"/>
              </w:rPr>
            </w:pPr>
          </w:p>
        </w:tc>
        <w:tc>
          <w:tcPr>
            <w:tcW w:w="358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5904230</wp:posOffset>
            </wp:positionH>
            <wp:positionV relativeFrom="paragraph">
              <wp:posOffset>-2208530</wp:posOffset>
            </wp:positionV>
            <wp:extent cx="6858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-2208530</wp:posOffset>
            </wp:positionV>
            <wp:extent cx="6858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-1095375</wp:posOffset>
            </wp:positionV>
            <wp:extent cx="6858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-1095375</wp:posOffset>
            </wp:positionV>
            <wp:extent cx="6858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996" w:right="339" w:bottom="1440" w:gutter="0" w:footer="0" w:header="0"/>
        </w:sectPr>
      </w:pPr>
    </w:p>
    <w:bookmarkStart w:id="11" w:name="page12"/>
    <w:bookmarkEnd w:id="11"/>
    <w:p>
      <w:pPr>
        <w:spacing w:after="0"/>
        <w:tabs>
          <w:tab w:leader="none" w:pos="340" w:val="left"/>
        </w:tabs>
        <w:rPr>
          <w:sz w:val="20"/>
          <w:szCs w:val="20"/>
          <w:color w:val="auto"/>
        </w:rPr>
      </w:pPr>
      <w:r>
        <w:rPr>
          <w:rFonts w:ascii="Times New Roman" w:cs="Times New Roman" w:eastAsia="Times New Roman" w:hAnsi="Times New Roman"/>
          <w:sz w:val="18"/>
          <w:szCs w:val="18"/>
          <w:b w:val="1"/>
          <w:bCs w:val="1"/>
          <w:color w:val="auto"/>
        </w:rPr>
        <w:t>9.</w:t>
        <w:tab/>
        <w:t>Debt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Debt consists of (in millions):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7220" w:type="dxa"/>
            <w:vAlign w:val="bottom"/>
          </w:tcPr>
          <w:p>
            <w:pPr>
              <w:spacing w:after="0"/>
              <w:rPr>
                <w:sz w:val="14"/>
                <w:szCs w:val="14"/>
                <w:color w:val="auto"/>
              </w:rPr>
            </w:pPr>
          </w:p>
        </w:tc>
        <w:tc>
          <w:tcPr>
            <w:tcW w:w="1280" w:type="dxa"/>
            <w:vAlign w:val="bottom"/>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2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7220" w:type="dxa"/>
            <w:vAlign w:val="bottom"/>
          </w:tcPr>
          <w:p>
            <w:pPr>
              <w:spacing w:after="0"/>
              <w:rPr>
                <w:sz w:val="16"/>
                <w:szCs w:val="16"/>
                <w:color w:val="auto"/>
              </w:rPr>
            </w:pPr>
          </w:p>
        </w:tc>
        <w:tc>
          <w:tcPr>
            <w:tcW w:w="128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Borders>
              <w:bottom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67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r>
      <w:tr>
        <w:trPr>
          <w:trHeight w:val="204"/>
        </w:trPr>
        <w:tc>
          <w:tcPr>
            <w:tcW w:w="7220" w:type="dxa"/>
            <w:vAlign w:val="bottom"/>
            <w:shd w:val="clear" w:color="auto" w:fill="CFF0FC"/>
          </w:tcPr>
          <w:p>
            <w:pPr>
              <w:ind w:left="200"/>
              <w:spacing w:after="0" w:line="204" w:lineRule="exact"/>
              <w:rPr>
                <w:sz w:val="20"/>
                <w:szCs w:val="20"/>
                <w:color w:val="auto"/>
              </w:rPr>
            </w:pPr>
            <w:r>
              <w:rPr>
                <w:rFonts w:ascii="Times New Roman" w:cs="Times New Roman" w:eastAsia="Times New Roman" w:hAnsi="Times New Roman"/>
                <w:sz w:val="18"/>
                <w:szCs w:val="18"/>
                <w:color w:val="auto"/>
              </w:rPr>
              <w:t>$1.1 billion in Senior Notes, interest at 3.95% payable</w:t>
            </w:r>
          </w:p>
        </w:tc>
        <w:tc>
          <w:tcPr>
            <w:tcW w:w="128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5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48"/>
        </w:trPr>
        <w:tc>
          <w:tcPr>
            <w:tcW w:w="722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semiannually, principal due on December 1, 2042</w:t>
            </w:r>
          </w:p>
        </w:tc>
        <w:tc>
          <w:tcPr>
            <w:tcW w:w="1280" w:type="dxa"/>
            <w:vAlign w:val="bottom"/>
            <w:shd w:val="clear" w:color="auto" w:fill="CFF0FC"/>
          </w:tcPr>
          <w:p>
            <w:pPr>
              <w:jc w:val="right"/>
              <w:ind w:right="1099"/>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1,091</w:t>
            </w:r>
          </w:p>
        </w:tc>
        <w:tc>
          <w:tcPr>
            <w:tcW w:w="5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1,091</w:t>
            </w:r>
          </w:p>
        </w:tc>
        <w:tc>
          <w:tcPr>
            <w:tcW w:w="100" w:type="dxa"/>
            <w:vAlign w:val="bottom"/>
            <w:shd w:val="clear" w:color="auto" w:fill="CFF0FC"/>
          </w:tcPr>
          <w:p>
            <w:pPr>
              <w:spacing w:after="0"/>
              <w:rPr>
                <w:sz w:val="21"/>
                <w:szCs w:val="21"/>
                <w:color w:val="auto"/>
              </w:rPr>
            </w:pPr>
          </w:p>
        </w:tc>
      </w:tr>
      <w:tr>
        <w:trPr>
          <w:trHeight w:val="211"/>
        </w:trPr>
        <w:tc>
          <w:tcPr>
            <w:tcW w:w="7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$0.5 billion in Senior Notes, interest at 3.60% payable</w:t>
            </w:r>
          </w:p>
        </w:tc>
        <w:tc>
          <w:tcPr>
            <w:tcW w:w="1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72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semiannually, principal due on December 1, 2029</w:t>
            </w:r>
          </w:p>
        </w:tc>
        <w:tc>
          <w:tcPr>
            <w:tcW w:w="128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w:t>
            </w: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100" w:type="dxa"/>
            <w:vAlign w:val="bottom"/>
          </w:tcPr>
          <w:p>
            <w:pPr>
              <w:spacing w:after="0"/>
              <w:rPr>
                <w:sz w:val="20"/>
                <w:szCs w:val="20"/>
                <w:color w:val="auto"/>
              </w:rPr>
            </w:pPr>
          </w:p>
        </w:tc>
      </w:tr>
      <w:tr>
        <w:trPr>
          <w:trHeight w:val="245"/>
        </w:trPr>
        <w:tc>
          <w:tcPr>
            <w:tcW w:w="72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debt</w:t>
            </w:r>
          </w:p>
        </w:tc>
        <w:tc>
          <w:tcPr>
            <w:tcW w:w="1280" w:type="dxa"/>
            <w:vAlign w:val="bottom"/>
            <w:tcBorders>
              <w:bottom w:val="single" w:sz="8" w:color="auto"/>
            </w:tcBorders>
            <w:shd w:val="clear" w:color="auto" w:fill="CFF0FC"/>
          </w:tcPr>
          <w:p>
            <w:pPr>
              <w:spacing w:after="0"/>
              <w:rPr>
                <w:sz w:val="21"/>
                <w:szCs w:val="21"/>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30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2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Debt</w:t>
            </w:r>
          </w:p>
        </w:tc>
        <w:tc>
          <w:tcPr>
            <w:tcW w:w="128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1,748</w:t>
            </w: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1,725</w:t>
            </w:r>
          </w:p>
        </w:tc>
        <w:tc>
          <w:tcPr>
            <w:tcW w:w="100" w:type="dxa"/>
            <w:vAlign w:val="bottom"/>
          </w:tcPr>
          <w:p>
            <w:pPr>
              <w:spacing w:after="0"/>
              <w:rPr>
                <w:sz w:val="20"/>
                <w:szCs w:val="20"/>
                <w:color w:val="auto"/>
              </w:rPr>
            </w:pPr>
          </w:p>
        </w:tc>
      </w:tr>
      <w:tr>
        <w:trPr>
          <w:trHeight w:val="243"/>
        </w:trPr>
        <w:tc>
          <w:tcPr>
            <w:tcW w:w="722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Less current portion</w:t>
            </w:r>
          </w:p>
        </w:tc>
        <w:tc>
          <w:tcPr>
            <w:tcW w:w="1280" w:type="dxa"/>
            <w:vAlign w:val="bottom"/>
            <w:tcBorders>
              <w:bottom w:val="single" w:sz="8" w:color="auto"/>
            </w:tcBorders>
            <w:shd w:val="clear" w:color="auto" w:fill="CFF0FC"/>
          </w:tcPr>
          <w:p>
            <w:pPr>
              <w:spacing w:after="0"/>
              <w:rPr>
                <w:sz w:val="21"/>
                <w:szCs w:val="21"/>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30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2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Long-term debt</w:t>
            </w:r>
          </w:p>
        </w:tc>
        <w:tc>
          <w:tcPr>
            <w:tcW w:w="1280" w:type="dxa"/>
            <w:vAlign w:val="bottom"/>
          </w:tcPr>
          <w:p>
            <w:pPr>
              <w:jc w:val="right"/>
              <w:ind w:right="1099"/>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1,724</w:t>
            </w: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1,712</w:t>
            </w:r>
          </w:p>
        </w:tc>
        <w:tc>
          <w:tcPr>
            <w:tcW w:w="100" w:type="dxa"/>
            <w:vAlign w:val="bottom"/>
          </w:tcPr>
          <w:p>
            <w:pPr>
              <w:spacing w:after="0"/>
              <w:rPr>
                <w:sz w:val="20"/>
                <w:szCs w:val="20"/>
                <w:color w:val="auto"/>
              </w:rPr>
            </w:pPr>
          </w:p>
        </w:tc>
      </w:tr>
      <w:tr>
        <w:trPr>
          <w:trHeight w:val="20"/>
        </w:trPr>
        <w:tc>
          <w:tcPr>
            <w:tcW w:w="722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5741670</wp:posOffset>
            </wp:positionH>
            <wp:positionV relativeFrom="paragraph">
              <wp:posOffset>-504825</wp:posOffset>
            </wp:positionV>
            <wp:extent cx="6858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-504825</wp:posOffset>
            </wp:positionV>
            <wp:extent cx="6858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5741670</wp:posOffset>
            </wp:positionH>
            <wp:positionV relativeFrom="paragraph">
              <wp:posOffset>-187960</wp:posOffset>
            </wp:positionV>
            <wp:extent cx="6858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has a revolving credit facility with a borrowing capacity of $2.0 billion through October 30, 2024, and a borrowing capacity of $1.8 billion from October 31, 2024 to October 30, 2025. The Company has the right to increase the commitments under this agreement to an aggregate amount of up to $3.0 billion upon the consent of only those lenders holding any such increase. Interest under the multicurrency facility is based upon Secured Overnight Financing Rate (SOFR), NIBOR or CDOR plus 1.25% subject to a ratings-based grid or the U.S. prime rate. The credit facility contains a financial covenant regarding maximum debt-to-capitalization ratio of 60%. As of June 30, 2024, the Company was in compliance with a debt-to-capitalization ratio of 23.6% and had no outstanding borrowings or letters of credits issued under the facility, resulting in $2.0 billion of available funds.</w:t>
      </w:r>
    </w:p>
    <w:p>
      <w:pPr>
        <w:spacing w:after="0" w:line="7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consolidated joint venture of the Company borrowed $120 million against a $150 million bank line of credit for the construction of a facility in Saudi Arabia. Interest under the bank line of credit is based upon SOFR plus 1.40%. The bank line of credit contains a financial covenant regarding maximum debt-to-equity ratio of 75%. As of June 30, 2024, the joint venture was in compliance. The facility construction was completed in the fourth quarter of 2022, and the joint venture will not have future borrowings on the line of credit. The line of credit repayment schedule began in December 2022 with final payment no later than June 2032. As of June 30, 2024, the Company has $99 million in borrowings related to this line of credit. The carrying value of debt under the Company’s consolidated joint venture approximates fair value because the interest rates are variable and reflective of current market rates. The Company has $11 million in payments related to this line of credit due in the next twelve months. The Company can repay the entire outstanding facility balance without penalty at its sole discretion.</w:t>
      </w:r>
    </w:p>
    <w:p>
      <w:pPr>
        <w:spacing w:after="0" w:line="81"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8"/>
          <w:szCs w:val="18"/>
          <w:color w:val="auto"/>
        </w:rPr>
        <w:t>Other debt at June 30, 2024 included $61 million of amounts owed to current and former minority interest partners of NOV consolidated joint ventures, of which $14 million is due in the next twelve months.</w:t>
      </w:r>
    </w:p>
    <w:p>
      <w:pPr>
        <w:spacing w:after="0" w:line="55"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The Company had $457 million of outstanding letters of credit at June 30, 2024, primarily in Norway and the United States, that are under various bilateral letter of credit facilities. Letters of credit are issued as bid bonds, advanced payment bonds and performance bonds.</w:t>
      </w:r>
    </w:p>
    <w:p>
      <w:pPr>
        <w:spacing w:after="0" w:line="5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At June 30, 2024 and December 31, 2023, the fair value of the Company’s unsecured Senior Notes approximated $1,288 million and $1,316 million, respectively. The fair value of the Company’s debt is estimated using Level 2 inputs in the fair value hierarchy and is based on quoted prices for those of similar instruments. At June 30, 2024 and December 31, 2023, the carrying value of the Company’s unsecured Senior Notes approximated $1,587 million and $1,586 million, respectively.</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10.  Income Taxes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effective tax rate for the three and six months ended June 30, 2024 was 23.9% and 24.9%, respectively, compared to 10.8% and 12.1% for the same period in 2023. The effective tax rate for 2024 was negatively impacted by a mix of earnings in higher tax rate jurisdictions, losses in certain jurisdictions with no tax benefit, and adjustments to the carrying value of deferred tax assets, partially offset by the reduction of valuation allowances related to U.S. and state deferred tax assets. The effective tax rate for 2023 was positively impacted by the utilization of previously unrealized loss carryforwards and tax credits as well as favorable adjustments related to changes in certain exchange rates, partially offset by current year losses in certain jurisdictions with no tax benefit.</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Stock-Based Compensation</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Company’s stock-based compensation plan, known as the NOV Inc. Long-Term Incentive Plan (the “NOV Plan”), was approved by shareholders on May 11, 2018 and amended and restated on May 24, 2022. The NOV Plan provides for the granting of stock options, restricted stock, restricted stock units, performance awards, phantom shares, stock appreciation rights, stock payments and substitute awards. The number of shares authorized under the NOV Plan is 55.7 million. The NOV Plan is also subject to a fungible ratio concept, such that the issuance of stock options and stock appreciation rights reduces the number of available shares under the NOV Plan on a 1-for-1 basis, and the issuance of other awards reduces the number of available shares under the NOV Plan on a 1.5-for-1 basis. At June 30, 2024, approximately 7.7 million shares remained available for future grants under the NOV Plan. The Company also has outstanding awards under its former stock-based compensation plan known as the National Oilwell Varco, Inc. Long-Term Incentive Plan (the “Former Plan”), however the Company is no longer granting new awards under the Former Plan.</w:t>
      </w:r>
    </w:p>
    <w:p>
      <w:pPr>
        <w:spacing w:after="0" w:line="81"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On May 15, 2024, the Company granted 85,950 restricted stock units with a fair value of $18.85 per share. The awards were granted to non-employee members of the board of directors and vest on the first anniversary of the grant date.</w:t>
      </w:r>
    </w:p>
    <w:p>
      <w:pPr>
        <w:spacing w:after="0" w:line="55"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On May 13, 2024, the Company granted 2,667 restricted stock units with a fair value of $18.76 per share. On May 30, 2024, the Company granted 13,639 restricted stock units with a fair value of $18.33 per share. The awards were granted to employees and vest in three equal annual installments commencing on the first anniversary of grant date.</w:t>
      </w:r>
    </w:p>
    <w:p>
      <w:pPr>
        <w:spacing w:after="0" w:line="69"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Total expense for all stock-based compensation arrangements was $17 million and $36 million for the three and six months ended June 30, 2024, respectively, and $17 million and $32 million for the three and six months ended June 30, 2023, respectively.</w:t>
      </w:r>
    </w:p>
    <w:p>
      <w:pPr>
        <w:spacing w:after="0" w:line="55"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The total income tax expense/(benefit) recognized in the Consolidated Statements of Income for stock-based compensation arrangements was ($1) million and $3 million for the three and six months ended June 30, 2024, respectively. There was no income tax benefit recognized in the Consolidated Statements of Income for stock-based compensation arrangements under the NOV Plan for the three and six months ended June 30, 2023.</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Derivative Financial Instruments</w:t>
      </w:r>
    </w:p>
    <w:p>
      <w:pPr>
        <w:spacing w:after="0" w:line="12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The Company uses forward currency contracts to manage the foreign currency exchange rate risk on forecasted revenues and expenses denominated in currencies other than the functional currency of the operating unit (cash flow hedge). The Company also executes forward currency contracts to manage the foreign currency exchange rate risk on recognized nonfunctional currency monetary accounts (non-designated hedge).</w:t>
      </w:r>
    </w:p>
    <w:p>
      <w:pPr>
        <w:spacing w:after="0" w:line="6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The fair values of these derivative financial instruments are determined using level 2 inputs (inputs other than quoted prices in active markets for identical assets and liabilities that are observable either directly or indirectly for substantially the full term of the asset or liability) in the fair value hierarchy as the fair value is based on publicly available foreign exchange and interest rates at each financial reporting date.</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color w:val="auto"/>
        </w:rPr>
        <w:t>Forward currency contracts consist of (in millions):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76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3"/>
          </w:tcPr>
          <w:p>
            <w:pPr>
              <w:ind w:left="240"/>
              <w:spacing w:after="0"/>
              <w:rPr>
                <w:sz w:val="20"/>
                <w:szCs w:val="20"/>
                <w:color w:val="auto"/>
              </w:rPr>
            </w:pPr>
            <w:r>
              <w:rPr>
                <w:rFonts w:ascii="Times New Roman" w:cs="Times New Roman" w:eastAsia="Times New Roman" w:hAnsi="Times New Roman"/>
                <w:sz w:val="14"/>
                <w:szCs w:val="14"/>
                <w:b w:val="1"/>
                <w:bCs w:val="1"/>
                <w:color w:val="auto"/>
              </w:rPr>
              <w:t>Currency Denomination</w:t>
            </w:r>
          </w:p>
        </w:tc>
        <w:tc>
          <w:tcPr>
            <w:tcW w:w="1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58"/>
        </w:trPr>
        <w:tc>
          <w:tcPr>
            <w:tcW w:w="5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760" w:type="dxa"/>
            <w:vAlign w:val="bottom"/>
          </w:tcPr>
          <w:p>
            <w:pPr>
              <w:ind w:left="1020"/>
              <w:spacing w:after="0" w:line="157" w:lineRule="exact"/>
              <w:rPr>
                <w:sz w:val="20"/>
                <w:szCs w:val="20"/>
                <w:color w:val="auto"/>
              </w:rPr>
            </w:pPr>
            <w:r>
              <w:rPr>
                <w:rFonts w:ascii="Times New Roman" w:cs="Times New Roman" w:eastAsia="Times New Roman" w:hAnsi="Times New Roman"/>
                <w:sz w:val="14"/>
                <w:szCs w:val="14"/>
                <w:b w:val="1"/>
                <w:bCs w:val="1"/>
                <w:color w:val="auto"/>
              </w:rPr>
              <w:t>June 30,</w:t>
            </w:r>
          </w:p>
        </w:tc>
        <w:tc>
          <w:tcPr>
            <w:tcW w:w="8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60" w:type="dxa"/>
            <w:vAlign w:val="bottom"/>
          </w:tcPr>
          <w:p>
            <w:pPr>
              <w:jc w:val="right"/>
              <w:ind w:right="773"/>
              <w:spacing w:after="0" w:line="157"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Pr>
          <w:p>
            <w:pPr>
              <w:spacing w:after="0"/>
              <w:rPr>
                <w:sz w:val="13"/>
                <w:szCs w:val="13"/>
                <w:color w:val="auto"/>
              </w:rPr>
            </w:pPr>
          </w:p>
        </w:tc>
      </w:tr>
      <w:tr>
        <w:trPr>
          <w:trHeight w:val="187"/>
        </w:trPr>
        <w:tc>
          <w:tcPr>
            <w:tcW w:w="5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Currency</w:t>
            </w:r>
          </w:p>
        </w:tc>
        <w:tc>
          <w:tcPr>
            <w:tcW w:w="280" w:type="dxa"/>
            <w:vAlign w:val="bottom"/>
          </w:tcPr>
          <w:p>
            <w:pPr>
              <w:spacing w:after="0"/>
              <w:rPr>
                <w:sz w:val="16"/>
                <w:szCs w:val="16"/>
                <w:color w:val="auto"/>
              </w:rPr>
            </w:pPr>
          </w:p>
        </w:tc>
        <w:tc>
          <w:tcPr>
            <w:tcW w:w="1760" w:type="dxa"/>
            <w:vAlign w:val="bottom"/>
            <w:tcBorders>
              <w:bottom w:val="single" w:sz="8" w:color="auto"/>
            </w:tcBorders>
          </w:tcPr>
          <w:p>
            <w:pPr>
              <w:ind w:left="11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820" w:type="dxa"/>
            <w:vAlign w:val="bottom"/>
            <w:tcBorders>
              <w:bottom w:val="single" w:sz="8" w:color="auto"/>
            </w:tcBorders>
          </w:tcPr>
          <w:p>
            <w:pPr>
              <w:spacing w:after="0"/>
              <w:rPr>
                <w:sz w:val="16"/>
                <w:szCs w:val="16"/>
                <w:color w:val="auto"/>
              </w:rPr>
            </w:pPr>
          </w:p>
        </w:tc>
        <w:tc>
          <w:tcPr>
            <w:tcW w:w="360" w:type="dxa"/>
            <w:vAlign w:val="bottom"/>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tcPr>
          <w:p>
            <w:pPr>
              <w:jc w:val="right"/>
              <w:ind w:right="10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r>
      <w:tr>
        <w:trPr>
          <w:trHeight w:val="236"/>
        </w:trPr>
        <w:tc>
          <w:tcPr>
            <w:tcW w:w="56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Colombian Peso</w:t>
            </w:r>
          </w:p>
        </w:tc>
        <w:tc>
          <w:tcPr>
            <w:tcW w:w="1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COP</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57,988</w:t>
            </w:r>
          </w:p>
        </w:tc>
        <w:tc>
          <w:tcPr>
            <w:tcW w:w="360" w:type="dxa"/>
            <w:vAlign w:val="bottom"/>
            <w:shd w:val="clear" w:color="auto" w:fill="CFF0FC"/>
          </w:tcPr>
          <w:p>
            <w:pPr>
              <w:spacing w:after="0"/>
              <w:rPr>
                <w:sz w:val="20"/>
                <w:szCs w:val="20"/>
                <w:color w:val="auto"/>
              </w:rPr>
            </w:pPr>
          </w:p>
        </w:tc>
        <w:tc>
          <w:tcPr>
            <w:tcW w:w="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COP</w:t>
            </w:r>
          </w:p>
        </w:tc>
        <w:tc>
          <w:tcPr>
            <w:tcW w:w="1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57,487</w:t>
            </w:r>
          </w:p>
        </w:tc>
        <w:tc>
          <w:tcPr>
            <w:tcW w:w="100" w:type="dxa"/>
            <w:vAlign w:val="bottom"/>
            <w:shd w:val="clear" w:color="auto" w:fill="CFF0FC"/>
          </w:tcPr>
          <w:p>
            <w:pPr>
              <w:spacing w:after="0"/>
              <w:rPr>
                <w:sz w:val="20"/>
                <w:szCs w:val="20"/>
                <w:color w:val="auto"/>
              </w:rPr>
            </w:pPr>
          </w:p>
        </w:tc>
      </w:tr>
      <w:tr>
        <w:trPr>
          <w:trHeight w:val="238"/>
        </w:trPr>
        <w:tc>
          <w:tcPr>
            <w:tcW w:w="5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South Korean Won</w:t>
            </w:r>
          </w:p>
        </w:tc>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KRW</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25,933</w:t>
            </w:r>
          </w:p>
        </w:tc>
        <w:tc>
          <w:tcPr>
            <w:tcW w:w="360" w:type="dxa"/>
            <w:vAlign w:val="bottom"/>
          </w:tcPr>
          <w:p>
            <w:pPr>
              <w:spacing w:after="0"/>
              <w:rPr>
                <w:sz w:val="20"/>
                <w:szCs w:val="20"/>
                <w:color w:val="auto"/>
              </w:rPr>
            </w:pPr>
          </w:p>
        </w:tc>
        <w:tc>
          <w:tcPr>
            <w:tcW w:w="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KRW</w:t>
            </w:r>
          </w:p>
        </w:tc>
        <w:tc>
          <w:tcPr>
            <w:tcW w:w="1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56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Norwegian Krone</w:t>
            </w:r>
          </w:p>
        </w:tc>
        <w:tc>
          <w:tcPr>
            <w:tcW w:w="1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NOK</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2,348</w:t>
            </w:r>
          </w:p>
        </w:tc>
        <w:tc>
          <w:tcPr>
            <w:tcW w:w="360" w:type="dxa"/>
            <w:vAlign w:val="bottom"/>
            <w:shd w:val="clear" w:color="auto" w:fill="CFF0FC"/>
          </w:tcPr>
          <w:p>
            <w:pPr>
              <w:spacing w:after="0"/>
              <w:rPr>
                <w:sz w:val="21"/>
                <w:szCs w:val="21"/>
                <w:color w:val="auto"/>
              </w:rPr>
            </w:pPr>
          </w:p>
        </w:tc>
        <w:tc>
          <w:tcPr>
            <w:tcW w:w="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NOK</w:t>
            </w:r>
          </w:p>
        </w:tc>
        <w:tc>
          <w:tcPr>
            <w:tcW w:w="1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2,179</w:t>
            </w:r>
          </w:p>
        </w:tc>
        <w:tc>
          <w:tcPr>
            <w:tcW w:w="100" w:type="dxa"/>
            <w:vAlign w:val="bottom"/>
            <w:shd w:val="clear" w:color="auto" w:fill="CFF0FC"/>
          </w:tcPr>
          <w:p>
            <w:pPr>
              <w:spacing w:after="0"/>
              <w:rPr>
                <w:sz w:val="21"/>
                <w:szCs w:val="21"/>
                <w:color w:val="auto"/>
              </w:rPr>
            </w:pPr>
          </w:p>
        </w:tc>
      </w:tr>
      <w:tr>
        <w:trPr>
          <w:trHeight w:val="238"/>
        </w:trPr>
        <w:tc>
          <w:tcPr>
            <w:tcW w:w="5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Japanese Yen</w:t>
            </w:r>
          </w:p>
        </w:tc>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JPY</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1,118</w:t>
            </w:r>
          </w:p>
        </w:tc>
        <w:tc>
          <w:tcPr>
            <w:tcW w:w="360" w:type="dxa"/>
            <w:vAlign w:val="bottom"/>
          </w:tcPr>
          <w:p>
            <w:pPr>
              <w:spacing w:after="0"/>
              <w:rPr>
                <w:sz w:val="20"/>
                <w:szCs w:val="20"/>
                <w:color w:val="auto"/>
              </w:rPr>
            </w:pPr>
          </w:p>
        </w:tc>
        <w:tc>
          <w:tcPr>
            <w:tcW w:w="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JPY</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1,118</w:t>
            </w:r>
          </w:p>
        </w:tc>
        <w:tc>
          <w:tcPr>
            <w:tcW w:w="100" w:type="dxa"/>
            <w:vAlign w:val="bottom"/>
          </w:tcPr>
          <w:p>
            <w:pPr>
              <w:spacing w:after="0"/>
              <w:rPr>
                <w:sz w:val="20"/>
                <w:szCs w:val="20"/>
                <w:color w:val="auto"/>
              </w:rPr>
            </w:pPr>
          </w:p>
        </w:tc>
      </w:tr>
      <w:tr>
        <w:trPr>
          <w:trHeight w:val="247"/>
        </w:trPr>
        <w:tc>
          <w:tcPr>
            <w:tcW w:w="56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U.S. Dollar</w:t>
            </w:r>
          </w:p>
        </w:tc>
        <w:tc>
          <w:tcPr>
            <w:tcW w:w="1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USD</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930</w:t>
            </w:r>
          </w:p>
        </w:tc>
        <w:tc>
          <w:tcPr>
            <w:tcW w:w="360" w:type="dxa"/>
            <w:vAlign w:val="bottom"/>
            <w:shd w:val="clear" w:color="auto" w:fill="CFF0FC"/>
          </w:tcPr>
          <w:p>
            <w:pPr>
              <w:spacing w:after="0"/>
              <w:rPr>
                <w:sz w:val="21"/>
                <w:szCs w:val="21"/>
                <w:color w:val="auto"/>
              </w:rPr>
            </w:pPr>
          </w:p>
        </w:tc>
        <w:tc>
          <w:tcPr>
            <w:tcW w:w="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USD</w:t>
            </w:r>
          </w:p>
        </w:tc>
        <w:tc>
          <w:tcPr>
            <w:tcW w:w="1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677</w:t>
            </w:r>
          </w:p>
        </w:tc>
        <w:tc>
          <w:tcPr>
            <w:tcW w:w="100" w:type="dxa"/>
            <w:vAlign w:val="bottom"/>
            <w:shd w:val="clear" w:color="auto" w:fill="CFF0FC"/>
          </w:tcPr>
          <w:p>
            <w:pPr>
              <w:spacing w:after="0"/>
              <w:rPr>
                <w:sz w:val="21"/>
                <w:szCs w:val="21"/>
                <w:color w:val="auto"/>
              </w:rPr>
            </w:pPr>
          </w:p>
        </w:tc>
      </w:tr>
      <w:tr>
        <w:trPr>
          <w:trHeight w:val="238"/>
        </w:trPr>
        <w:tc>
          <w:tcPr>
            <w:tcW w:w="5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Brazilian Real</w:t>
            </w:r>
          </w:p>
        </w:tc>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BRL</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360" w:type="dxa"/>
            <w:vAlign w:val="bottom"/>
          </w:tcPr>
          <w:p>
            <w:pPr>
              <w:spacing w:after="0"/>
              <w:rPr>
                <w:sz w:val="20"/>
                <w:szCs w:val="20"/>
                <w:color w:val="auto"/>
              </w:rPr>
            </w:pPr>
          </w:p>
        </w:tc>
        <w:tc>
          <w:tcPr>
            <w:tcW w:w="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BRL</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100" w:type="dxa"/>
            <w:vAlign w:val="bottom"/>
          </w:tcPr>
          <w:p>
            <w:pPr>
              <w:spacing w:after="0"/>
              <w:rPr>
                <w:sz w:val="20"/>
                <w:szCs w:val="20"/>
                <w:color w:val="auto"/>
              </w:rPr>
            </w:pPr>
          </w:p>
        </w:tc>
      </w:tr>
      <w:tr>
        <w:trPr>
          <w:trHeight w:val="247"/>
        </w:trPr>
        <w:tc>
          <w:tcPr>
            <w:tcW w:w="56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Mexican Peso</w:t>
            </w:r>
          </w:p>
        </w:tc>
        <w:tc>
          <w:tcPr>
            <w:tcW w:w="1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MXN</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360" w:type="dxa"/>
            <w:vAlign w:val="bottom"/>
            <w:shd w:val="clear" w:color="auto" w:fill="CFF0FC"/>
          </w:tcPr>
          <w:p>
            <w:pPr>
              <w:spacing w:after="0"/>
              <w:rPr>
                <w:sz w:val="21"/>
                <w:szCs w:val="21"/>
                <w:color w:val="auto"/>
              </w:rPr>
            </w:pPr>
          </w:p>
        </w:tc>
        <w:tc>
          <w:tcPr>
            <w:tcW w:w="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MXN</w:t>
            </w:r>
          </w:p>
        </w:tc>
        <w:tc>
          <w:tcPr>
            <w:tcW w:w="1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00" w:type="dxa"/>
            <w:vAlign w:val="bottom"/>
            <w:shd w:val="clear" w:color="auto" w:fill="CFF0FC"/>
          </w:tcPr>
          <w:p>
            <w:pPr>
              <w:spacing w:after="0"/>
              <w:rPr>
                <w:sz w:val="21"/>
                <w:szCs w:val="21"/>
                <w:color w:val="auto"/>
              </w:rPr>
            </w:pPr>
          </w:p>
        </w:tc>
      </w:tr>
      <w:tr>
        <w:trPr>
          <w:trHeight w:val="238"/>
        </w:trPr>
        <w:tc>
          <w:tcPr>
            <w:tcW w:w="5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Euro</w:t>
            </w:r>
          </w:p>
        </w:tc>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EUR</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360" w:type="dxa"/>
            <w:vAlign w:val="bottom"/>
          </w:tcPr>
          <w:p>
            <w:pPr>
              <w:spacing w:after="0"/>
              <w:rPr>
                <w:sz w:val="20"/>
                <w:szCs w:val="20"/>
                <w:color w:val="auto"/>
              </w:rPr>
            </w:pPr>
          </w:p>
        </w:tc>
        <w:tc>
          <w:tcPr>
            <w:tcW w:w="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EUR</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20"/>
                <w:szCs w:val="20"/>
                <w:color w:val="auto"/>
              </w:rPr>
            </w:pPr>
          </w:p>
        </w:tc>
      </w:tr>
      <w:tr>
        <w:trPr>
          <w:trHeight w:val="247"/>
        </w:trPr>
        <w:tc>
          <w:tcPr>
            <w:tcW w:w="56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South African Rand</w:t>
            </w:r>
          </w:p>
        </w:tc>
        <w:tc>
          <w:tcPr>
            <w:tcW w:w="1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ZAR</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360" w:type="dxa"/>
            <w:vAlign w:val="bottom"/>
            <w:shd w:val="clear" w:color="auto" w:fill="CFF0FC"/>
          </w:tcPr>
          <w:p>
            <w:pPr>
              <w:spacing w:after="0"/>
              <w:rPr>
                <w:sz w:val="21"/>
                <w:szCs w:val="21"/>
                <w:color w:val="auto"/>
              </w:rPr>
            </w:pPr>
          </w:p>
        </w:tc>
        <w:tc>
          <w:tcPr>
            <w:tcW w:w="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ZAR</w:t>
            </w:r>
          </w:p>
        </w:tc>
        <w:tc>
          <w:tcPr>
            <w:tcW w:w="1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shd w:val="clear" w:color="auto" w:fill="CFF0FC"/>
          </w:tcPr>
          <w:p>
            <w:pPr>
              <w:spacing w:after="0"/>
              <w:rPr>
                <w:sz w:val="21"/>
                <w:szCs w:val="21"/>
                <w:color w:val="auto"/>
              </w:rPr>
            </w:pPr>
          </w:p>
        </w:tc>
      </w:tr>
      <w:tr>
        <w:trPr>
          <w:trHeight w:val="238"/>
        </w:trPr>
        <w:tc>
          <w:tcPr>
            <w:tcW w:w="5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Singapore Dollar</w:t>
            </w:r>
          </w:p>
        </w:tc>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SGD</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360" w:type="dxa"/>
            <w:vAlign w:val="bottom"/>
          </w:tcPr>
          <w:p>
            <w:pPr>
              <w:spacing w:after="0"/>
              <w:rPr>
                <w:sz w:val="20"/>
                <w:szCs w:val="20"/>
                <w:color w:val="auto"/>
              </w:rPr>
            </w:pPr>
          </w:p>
        </w:tc>
        <w:tc>
          <w:tcPr>
            <w:tcW w:w="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SGD</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20"/>
                <w:szCs w:val="20"/>
                <w:color w:val="auto"/>
              </w:rPr>
            </w:pPr>
          </w:p>
        </w:tc>
      </w:tr>
      <w:tr>
        <w:trPr>
          <w:trHeight w:val="247"/>
        </w:trPr>
        <w:tc>
          <w:tcPr>
            <w:tcW w:w="56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Danish Krone</w:t>
            </w:r>
          </w:p>
        </w:tc>
        <w:tc>
          <w:tcPr>
            <w:tcW w:w="1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DKK</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360" w:type="dxa"/>
            <w:vAlign w:val="bottom"/>
            <w:shd w:val="clear" w:color="auto" w:fill="CFF0FC"/>
          </w:tcPr>
          <w:p>
            <w:pPr>
              <w:spacing w:after="0"/>
              <w:rPr>
                <w:sz w:val="21"/>
                <w:szCs w:val="21"/>
                <w:color w:val="auto"/>
              </w:rPr>
            </w:pPr>
          </w:p>
        </w:tc>
        <w:tc>
          <w:tcPr>
            <w:tcW w:w="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DKK</w:t>
            </w:r>
          </w:p>
        </w:tc>
        <w:tc>
          <w:tcPr>
            <w:tcW w:w="1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FF0FC"/>
          </w:tcPr>
          <w:p>
            <w:pPr>
              <w:spacing w:after="0"/>
              <w:rPr>
                <w:sz w:val="21"/>
                <w:szCs w:val="21"/>
                <w:color w:val="auto"/>
              </w:rPr>
            </w:pPr>
          </w:p>
        </w:tc>
      </w:tr>
      <w:tr>
        <w:trPr>
          <w:trHeight w:val="238"/>
        </w:trPr>
        <w:tc>
          <w:tcPr>
            <w:tcW w:w="5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British Pound Sterling</w:t>
            </w:r>
          </w:p>
        </w:tc>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GBP</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360" w:type="dxa"/>
            <w:vAlign w:val="bottom"/>
          </w:tcPr>
          <w:p>
            <w:pPr>
              <w:spacing w:after="0"/>
              <w:rPr>
                <w:sz w:val="20"/>
                <w:szCs w:val="20"/>
                <w:color w:val="auto"/>
              </w:rPr>
            </w:pPr>
          </w:p>
        </w:tc>
        <w:tc>
          <w:tcPr>
            <w:tcW w:w="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GBP</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0"/>
                <w:szCs w:val="20"/>
                <w:color w:val="auto"/>
              </w:rPr>
            </w:pPr>
          </w:p>
        </w:tc>
      </w:tr>
      <w:tr>
        <w:trPr>
          <w:trHeight w:val="247"/>
        </w:trPr>
        <w:tc>
          <w:tcPr>
            <w:tcW w:w="56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Canadian Dollar</w:t>
            </w:r>
          </w:p>
        </w:tc>
        <w:tc>
          <w:tcPr>
            <w:tcW w:w="1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CAD</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60" w:type="dxa"/>
            <w:vAlign w:val="bottom"/>
            <w:shd w:val="clear" w:color="auto" w:fill="CFF0FC"/>
          </w:tcPr>
          <w:p>
            <w:pPr>
              <w:spacing w:after="0"/>
              <w:rPr>
                <w:sz w:val="21"/>
                <w:szCs w:val="21"/>
                <w:color w:val="auto"/>
              </w:rPr>
            </w:pPr>
          </w:p>
        </w:tc>
        <w:tc>
          <w:tcPr>
            <w:tcW w:w="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CAD</w:t>
            </w:r>
          </w:p>
        </w:tc>
        <w:tc>
          <w:tcPr>
            <w:tcW w:w="1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FF0FC"/>
          </w:tcPr>
          <w:p>
            <w:pPr>
              <w:spacing w:after="0"/>
              <w:rPr>
                <w:sz w:val="21"/>
                <w:szCs w:val="21"/>
                <w:color w:val="auto"/>
              </w:rPr>
            </w:pPr>
          </w:p>
        </w:tc>
      </w:tr>
    </w:tbl>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 Hedging Strategy</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To protect against the volatility of forecasted foreign currency cash flows resulting from forecasted revenues and expenses, the Company instituted a cash flow hedging program. For derivative instruments that are designated and qualify as a cash flow hedge, the gain or loss on the derivative instrument is recorded in accumulated other comprehensive income (loss) and reclassified into earnings in the same line item associated with the forecasted transaction and in the same period or periods during which the hedged transaction affects earnings (e.g., in “revenues” when the hedged transactions are cash flows associated with forecasted revenues). The Company includes time value in hedge relationships.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expects accumulated other comprehensive income of $2 million will be reclassified into earnings within the next twelve months.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Non-designated Hedging Strategy</w:t>
      </w:r>
    </w:p>
    <w:p>
      <w:pPr>
        <w:spacing w:after="0" w:line="119"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8"/>
          <w:szCs w:val="18"/>
          <w:color w:val="auto"/>
        </w:rPr>
        <w:t>The Company enters into forward exchange contracts to hedge certain nonfunctional currency monetary accounts. The gain or loss on the derivative instrument is recognized in earnings in other income (expense), together with the changes in the hedged nonfunctional monetary accounts.</w:t>
      </w:r>
    </w:p>
    <w:p>
      <w:pPr>
        <w:spacing w:after="0" w:line="55"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The amount of gain (loss) recognized in other expense, net was $13 million and $10 million for the three and six months ended June 30, 2024, respectively, and ($5) million and ($10) million for the three and six months ended June 30, 2023, respectively.</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color w:val="auto"/>
        </w:rPr>
        <w:t>The Company has the following fair values of its derivative instruments and their balance sheet classifications (in millions):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180" w:type="dxa"/>
            <w:vAlign w:val="bottom"/>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Asset Derivatives</w:t>
            </w:r>
          </w:p>
        </w:tc>
        <w:tc>
          <w:tcPr>
            <w:tcW w:w="2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6"/>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Liability Derivatives</w:t>
            </w:r>
          </w:p>
        </w:tc>
        <w:tc>
          <w:tcPr>
            <w:tcW w:w="6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3"/>
          </w:tcPr>
          <w:p>
            <w:pPr>
              <w:ind w:left="58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6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4180" w:type="dxa"/>
            <w:vAlign w:val="bottom"/>
          </w:tcPr>
          <w:p>
            <w:pPr>
              <w:spacing w:after="0"/>
              <w:rPr>
                <w:sz w:val="13"/>
                <w:szCs w:val="13"/>
                <w:color w:val="auto"/>
              </w:rPr>
            </w:pPr>
          </w:p>
        </w:tc>
        <w:tc>
          <w:tcPr>
            <w:tcW w:w="1300" w:type="dxa"/>
            <w:vAlign w:val="bottom"/>
          </w:tcPr>
          <w:p>
            <w:pPr>
              <w:ind w:left="360"/>
              <w:spacing w:after="0" w:line="157" w:lineRule="exact"/>
              <w:rPr>
                <w:sz w:val="20"/>
                <w:szCs w:val="20"/>
                <w:color w:val="auto"/>
              </w:rPr>
            </w:pPr>
            <w:r>
              <w:rPr>
                <w:rFonts w:ascii="Times New Roman" w:cs="Times New Roman" w:eastAsia="Times New Roman" w:hAnsi="Times New Roman"/>
                <w:sz w:val="14"/>
                <w:szCs w:val="14"/>
                <w:b w:val="1"/>
                <w:bCs w:val="1"/>
                <w:color w:val="auto"/>
              </w:rPr>
              <w:t>Balance Sheet</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ind w:left="20"/>
              <w:spacing w:after="0" w:line="157" w:lineRule="exact"/>
              <w:rPr>
                <w:sz w:val="20"/>
                <w:szCs w:val="20"/>
                <w:color w:val="auto"/>
              </w:rPr>
            </w:pPr>
            <w:r>
              <w:rPr>
                <w:rFonts w:ascii="Times New Roman" w:cs="Times New Roman" w:eastAsia="Times New Roman" w:hAnsi="Times New Roman"/>
                <w:sz w:val="14"/>
                <w:szCs w:val="14"/>
                <w:b w:val="1"/>
                <w:bCs w:val="1"/>
                <w:color w:val="auto"/>
              </w:rPr>
              <w:t>June 30,</w:t>
            </w:r>
          </w:p>
        </w:tc>
        <w:tc>
          <w:tcPr>
            <w:tcW w:w="260" w:type="dxa"/>
            <w:vAlign w:val="bottom"/>
          </w:tcPr>
          <w:p>
            <w:pPr>
              <w:spacing w:after="0"/>
              <w:rPr>
                <w:sz w:val="13"/>
                <w:szCs w:val="13"/>
                <w:color w:val="auto"/>
              </w:rPr>
            </w:pPr>
          </w:p>
        </w:tc>
        <w:tc>
          <w:tcPr>
            <w:tcW w:w="1000" w:type="dxa"/>
            <w:vAlign w:val="bottom"/>
            <w:gridSpan w:val="2"/>
          </w:tcPr>
          <w:p>
            <w:pPr>
              <w:jc w:val="right"/>
              <w:spacing w:after="0" w:line="157"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220" w:type="dxa"/>
            <w:vAlign w:val="bottom"/>
          </w:tcPr>
          <w:p>
            <w:pPr>
              <w:spacing w:after="0"/>
              <w:rPr>
                <w:sz w:val="13"/>
                <w:szCs w:val="13"/>
                <w:color w:val="auto"/>
              </w:rPr>
            </w:pPr>
          </w:p>
        </w:tc>
        <w:tc>
          <w:tcPr>
            <w:tcW w:w="1000" w:type="dxa"/>
            <w:vAlign w:val="bottom"/>
            <w:gridSpan w:val="3"/>
          </w:tcPr>
          <w:p>
            <w:pPr>
              <w:ind w:left="20"/>
              <w:spacing w:after="0" w:line="157" w:lineRule="exact"/>
              <w:rPr>
                <w:sz w:val="20"/>
                <w:szCs w:val="20"/>
                <w:color w:val="auto"/>
              </w:rPr>
            </w:pPr>
            <w:r>
              <w:rPr>
                <w:rFonts w:ascii="Times New Roman" w:cs="Times New Roman" w:eastAsia="Times New Roman" w:hAnsi="Times New Roman"/>
                <w:sz w:val="14"/>
                <w:szCs w:val="14"/>
                <w:b w:val="1"/>
                <w:bCs w:val="1"/>
                <w:color w:val="auto"/>
              </w:rPr>
              <w:t>Balance Sheet</w:t>
            </w:r>
          </w:p>
        </w:tc>
        <w:tc>
          <w:tcPr>
            <w:tcW w:w="120" w:type="dxa"/>
            <w:vAlign w:val="bottom"/>
          </w:tcPr>
          <w:p>
            <w:pPr>
              <w:spacing w:after="0"/>
              <w:rPr>
                <w:sz w:val="13"/>
                <w:szCs w:val="13"/>
                <w:color w:val="auto"/>
              </w:rPr>
            </w:pPr>
          </w:p>
        </w:tc>
        <w:tc>
          <w:tcPr>
            <w:tcW w:w="700" w:type="dxa"/>
            <w:vAlign w:val="bottom"/>
          </w:tcPr>
          <w:p>
            <w:pPr>
              <w:jc w:val="right"/>
              <w:ind w:right="76"/>
              <w:spacing w:after="0" w:line="157" w:lineRule="exact"/>
              <w:rPr>
                <w:sz w:val="20"/>
                <w:szCs w:val="20"/>
                <w:color w:val="auto"/>
              </w:rPr>
            </w:pPr>
            <w:r>
              <w:rPr>
                <w:rFonts w:ascii="Times New Roman" w:cs="Times New Roman" w:eastAsia="Times New Roman" w:hAnsi="Times New Roman"/>
                <w:sz w:val="14"/>
                <w:szCs w:val="14"/>
                <w:b w:val="1"/>
                <w:bCs w:val="1"/>
                <w:color w:val="auto"/>
              </w:rPr>
              <w:t>June 30,</w:t>
            </w:r>
          </w:p>
        </w:tc>
        <w:tc>
          <w:tcPr>
            <w:tcW w:w="220" w:type="dxa"/>
            <w:vAlign w:val="bottom"/>
          </w:tcPr>
          <w:p>
            <w:pPr>
              <w:spacing w:after="0"/>
              <w:rPr>
                <w:sz w:val="13"/>
                <w:szCs w:val="13"/>
                <w:color w:val="auto"/>
              </w:rPr>
            </w:pPr>
          </w:p>
        </w:tc>
        <w:tc>
          <w:tcPr>
            <w:tcW w:w="960" w:type="dxa"/>
            <w:vAlign w:val="bottom"/>
            <w:gridSpan w:val="2"/>
          </w:tcPr>
          <w:p>
            <w:pPr>
              <w:jc w:val="right"/>
              <w:spacing w:after="0" w:line="157"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4180" w:type="dxa"/>
            <w:vAlign w:val="bottom"/>
          </w:tcPr>
          <w:p>
            <w:pPr>
              <w:spacing w:after="0"/>
              <w:rPr>
                <w:sz w:val="16"/>
                <w:szCs w:val="16"/>
                <w:color w:val="auto"/>
              </w:rPr>
            </w:pPr>
          </w:p>
        </w:tc>
        <w:tc>
          <w:tcPr>
            <w:tcW w:w="130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2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6"/>
                <w:szCs w:val="16"/>
                <w:color w:val="auto"/>
              </w:rPr>
            </w:pPr>
          </w:p>
        </w:tc>
        <w:tc>
          <w:tcPr>
            <w:tcW w:w="8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4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4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Derivatives designated as hedging</w:t>
            </w:r>
          </w:p>
        </w:tc>
        <w:tc>
          <w:tcPr>
            <w:tcW w:w="13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52"/>
        </w:trPr>
        <w:tc>
          <w:tcPr>
            <w:tcW w:w="41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b w:val="1"/>
                <w:bCs w:val="1"/>
                <w:color w:val="auto"/>
              </w:rPr>
              <w:t>instruments under ASC Topic 815</w:t>
            </w:r>
          </w:p>
        </w:tc>
        <w:tc>
          <w:tcPr>
            <w:tcW w:w="13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6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4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exchange contracts</w:t>
            </w:r>
          </w:p>
        </w:tc>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Prepaid and other</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4180" w:type="dxa"/>
            <w:vAlign w:val="bottom"/>
          </w:tcPr>
          <w:p>
            <w:pPr>
              <w:spacing w:after="0"/>
              <w:rPr>
                <w:sz w:val="20"/>
                <w:szCs w:val="20"/>
                <w:color w:val="auto"/>
              </w:rPr>
            </w:pPr>
          </w:p>
        </w:tc>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5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ind w:left="48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gridSpan w:val="2"/>
          </w:tcPr>
          <w:p>
            <w:pPr>
              <w:jc w:val="right"/>
              <w:ind w:right="139"/>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20" w:type="dxa"/>
            <w:vAlign w:val="bottom"/>
          </w:tcPr>
          <w:p>
            <w:pPr>
              <w:spacing w:after="0"/>
              <w:rPr>
                <w:sz w:val="20"/>
                <w:szCs w:val="20"/>
                <w:color w:val="auto"/>
              </w:rPr>
            </w:pPr>
          </w:p>
        </w:tc>
        <w:tc>
          <w:tcPr>
            <w:tcW w:w="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520" w:type="dxa"/>
            <w:vAlign w:val="bottom"/>
            <w:gridSpan w:val="2"/>
          </w:tcPr>
          <w:p>
            <w:pPr>
              <w:jc w:val="right"/>
              <w:ind w:right="119"/>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4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Foreign exchange contracts</w:t>
            </w:r>
          </w:p>
        </w:tc>
        <w:tc>
          <w:tcPr>
            <w:tcW w:w="1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60" w:type="dxa"/>
            <w:vAlign w:val="bottom"/>
            <w:vMerge w:val="restart"/>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6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6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180" w:type="dxa"/>
            <w:vAlign w:val="bottom"/>
            <w:tcBorders>
              <w:bottom w:val="single" w:sz="8" w:color="CFF0FC"/>
            </w:tcBorders>
            <w:shd w:val="clear" w:color="auto" w:fill="CFF0FC"/>
          </w:tcPr>
          <w:p>
            <w:pPr>
              <w:spacing w:after="0"/>
              <w:rPr>
                <w:sz w:val="20"/>
                <w:szCs w:val="20"/>
                <w:color w:val="auto"/>
              </w:rPr>
            </w:pPr>
          </w:p>
        </w:tc>
        <w:tc>
          <w:tcPr>
            <w:tcW w:w="130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660" w:type="dxa"/>
            <w:vAlign w:val="bottom"/>
            <w:tcBorders>
              <w:bottom w:val="single" w:sz="8" w:color="auto"/>
            </w:tcBorders>
            <w:vMerge w:val="continue"/>
            <w:shd w:val="clear" w:color="auto" w:fill="CFF0FC"/>
          </w:tcPr>
          <w:p>
            <w:pPr>
              <w:spacing w:after="0"/>
              <w:rPr>
                <w:sz w:val="20"/>
                <w:szCs w:val="20"/>
                <w:color w:val="auto"/>
              </w:rPr>
            </w:pPr>
          </w:p>
        </w:tc>
        <w:tc>
          <w:tcPr>
            <w:tcW w:w="26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spacing w:after="0"/>
              <w:rPr>
                <w:sz w:val="20"/>
                <w:szCs w:val="20"/>
                <w:color w:val="auto"/>
              </w:rPr>
            </w:pPr>
          </w:p>
        </w:tc>
        <w:tc>
          <w:tcPr>
            <w:tcW w:w="680" w:type="dxa"/>
            <w:vAlign w:val="bottom"/>
            <w:tcBorders>
              <w:bottom w:val="single" w:sz="8" w:color="auto"/>
            </w:tcBorders>
            <w:vMerge w:val="continue"/>
            <w:shd w:val="clear" w:color="auto" w:fill="CFF0FC"/>
          </w:tcPr>
          <w:p>
            <w:pPr>
              <w:spacing w:after="0"/>
              <w:rPr>
                <w:sz w:val="20"/>
                <w:szCs w:val="20"/>
                <w:color w:val="auto"/>
              </w:rPr>
            </w:pPr>
          </w:p>
        </w:tc>
        <w:tc>
          <w:tcPr>
            <w:tcW w:w="220" w:type="dxa"/>
            <w:vAlign w:val="bottom"/>
            <w:tcBorders>
              <w:bottom w:val="single" w:sz="8" w:color="CFF0FC"/>
            </w:tcBorders>
            <w:shd w:val="clear" w:color="auto" w:fill="CFF0FC"/>
          </w:tcPr>
          <w:p>
            <w:pPr>
              <w:spacing w:after="0"/>
              <w:rPr>
                <w:sz w:val="20"/>
                <w:szCs w:val="20"/>
                <w:color w:val="auto"/>
              </w:rPr>
            </w:pPr>
          </w:p>
        </w:tc>
        <w:tc>
          <w:tcPr>
            <w:tcW w:w="8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8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700" w:type="dxa"/>
            <w:vAlign w:val="bottom"/>
            <w:tcBorders>
              <w:bottom w:val="single" w:sz="8" w:color="auto"/>
            </w:tcBorders>
            <w:vMerge w:val="continue"/>
            <w:shd w:val="clear" w:color="auto" w:fill="CFF0FC"/>
          </w:tcPr>
          <w:p>
            <w:pPr>
              <w:spacing w:after="0"/>
              <w:rPr>
                <w:sz w:val="20"/>
                <w:szCs w:val="20"/>
                <w:color w:val="auto"/>
              </w:rPr>
            </w:pPr>
          </w:p>
        </w:tc>
        <w:tc>
          <w:tcPr>
            <w:tcW w:w="22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660" w:type="dxa"/>
            <w:vAlign w:val="bottom"/>
            <w:tcBorders>
              <w:bottom w:val="single" w:sz="8" w:color="auto"/>
            </w:tcBorders>
            <w:vMerge w:val="continue"/>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0"/>
        </w:trPr>
        <w:tc>
          <w:tcPr>
            <w:tcW w:w="4180" w:type="dxa"/>
            <w:vAlign w:val="bottom"/>
          </w:tcPr>
          <w:p>
            <w:pPr>
              <w:ind w:left="20"/>
              <w:spacing w:after="0" w:line="201" w:lineRule="exact"/>
              <w:rPr>
                <w:sz w:val="20"/>
                <w:szCs w:val="20"/>
                <w:color w:val="auto"/>
              </w:rPr>
            </w:pPr>
            <w:r>
              <w:rPr>
                <w:rFonts w:ascii="Times New Roman" w:cs="Times New Roman" w:eastAsia="Times New Roman" w:hAnsi="Times New Roman"/>
                <w:sz w:val="18"/>
                <w:szCs w:val="18"/>
                <w:b w:val="1"/>
                <w:bCs w:val="1"/>
                <w:color w:val="auto"/>
              </w:rPr>
              <w:t>Total derivatives designated as hedging</w:t>
            </w:r>
          </w:p>
        </w:tc>
        <w:tc>
          <w:tcPr>
            <w:tcW w:w="1300" w:type="dxa"/>
            <w:vAlign w:val="bottom"/>
          </w:tcPr>
          <w:p>
            <w:pPr>
              <w:spacing w:after="0"/>
              <w:rPr>
                <w:sz w:val="17"/>
                <w:szCs w:val="17"/>
                <w:color w:val="auto"/>
              </w:rPr>
            </w:pPr>
          </w:p>
        </w:tc>
        <w:tc>
          <w:tcPr>
            <w:tcW w:w="5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vMerge w:val="restart"/>
          </w:tcPr>
          <w:p>
            <w:pPr>
              <w:ind w:left="48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gridSpan w:val="2"/>
            <w:vMerge w:val="restart"/>
          </w:tcPr>
          <w:p>
            <w:pPr>
              <w:jc w:val="right"/>
              <w:ind w:right="139"/>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520" w:type="dxa"/>
            <w:vAlign w:val="bottom"/>
            <w:gridSpan w:val="2"/>
            <w:vMerge w:val="restart"/>
          </w:tcPr>
          <w:p>
            <w:pPr>
              <w:jc w:val="right"/>
              <w:ind w:right="119"/>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418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instruments under ASC Topic 815</w:t>
            </w:r>
          </w:p>
        </w:tc>
        <w:tc>
          <w:tcPr>
            <w:tcW w:w="1300" w:type="dxa"/>
            <w:vAlign w:val="bottom"/>
          </w:tcPr>
          <w:p>
            <w:pPr>
              <w:spacing w:after="0"/>
              <w:rPr>
                <w:sz w:val="18"/>
                <w:szCs w:val="18"/>
                <w:color w:val="auto"/>
              </w:rPr>
            </w:pPr>
          </w:p>
        </w:tc>
        <w:tc>
          <w:tcPr>
            <w:tcW w:w="520" w:type="dxa"/>
            <w:vAlign w:val="bottom"/>
            <w:gridSpan w:val="3"/>
            <w:vMerge w:val="continue"/>
          </w:tcPr>
          <w:p>
            <w:pPr>
              <w:spacing w:after="0"/>
              <w:rPr>
                <w:sz w:val="18"/>
                <w:szCs w:val="18"/>
                <w:color w:val="auto"/>
              </w:rPr>
            </w:pPr>
          </w:p>
        </w:tc>
        <w:tc>
          <w:tcPr>
            <w:tcW w:w="660" w:type="dxa"/>
            <w:vAlign w:val="bottom"/>
            <w:vMerge w:val="continue"/>
          </w:tcPr>
          <w:p>
            <w:pPr>
              <w:spacing w:after="0"/>
              <w:rPr>
                <w:sz w:val="18"/>
                <w:szCs w:val="18"/>
                <w:color w:val="auto"/>
              </w:rPr>
            </w:pPr>
          </w:p>
        </w:tc>
        <w:tc>
          <w:tcPr>
            <w:tcW w:w="580" w:type="dxa"/>
            <w:vAlign w:val="bottom"/>
            <w:gridSpan w:val="2"/>
            <w:vMerge w:val="continue"/>
          </w:tcPr>
          <w:p>
            <w:pPr>
              <w:spacing w:after="0"/>
              <w:rPr>
                <w:sz w:val="18"/>
                <w:szCs w:val="18"/>
                <w:color w:val="auto"/>
              </w:rPr>
            </w:pPr>
          </w:p>
        </w:tc>
        <w:tc>
          <w:tcPr>
            <w:tcW w:w="68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gridSpan w:val="3"/>
            <w:vMerge w:val="continue"/>
          </w:tcPr>
          <w:p>
            <w:pPr>
              <w:spacing w:after="0"/>
              <w:rPr>
                <w:sz w:val="18"/>
                <w:szCs w:val="18"/>
                <w:color w:val="auto"/>
              </w:rPr>
            </w:pPr>
          </w:p>
        </w:tc>
        <w:tc>
          <w:tcPr>
            <w:tcW w:w="700" w:type="dxa"/>
            <w:vAlign w:val="bottom"/>
            <w:vMerge w:val="continue"/>
          </w:tcPr>
          <w:p>
            <w:pPr>
              <w:spacing w:after="0"/>
              <w:rPr>
                <w:sz w:val="18"/>
                <w:szCs w:val="18"/>
                <w:color w:val="auto"/>
              </w:rPr>
            </w:pPr>
          </w:p>
        </w:tc>
        <w:tc>
          <w:tcPr>
            <w:tcW w:w="520" w:type="dxa"/>
            <w:vAlign w:val="bottom"/>
            <w:gridSpan w:val="2"/>
            <w:vMerge w:val="continue"/>
          </w:tcPr>
          <w:p>
            <w:pPr>
              <w:spacing w:after="0"/>
              <w:rPr>
                <w:sz w:val="18"/>
                <w:szCs w:val="18"/>
                <w:color w:val="auto"/>
              </w:rPr>
            </w:pPr>
          </w:p>
        </w:tc>
        <w:tc>
          <w:tcPr>
            <w:tcW w:w="6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4180" w:type="dxa"/>
            <w:vAlign w:val="bottom"/>
            <w:shd w:val="clear" w:color="auto" w:fill="CFF0FC"/>
          </w:tcPr>
          <w:p>
            <w:pPr>
              <w:ind w:left="20"/>
              <w:spacing w:after="0" w:line="188" w:lineRule="exact"/>
              <w:rPr>
                <w:sz w:val="20"/>
                <w:szCs w:val="20"/>
                <w:color w:val="auto"/>
              </w:rPr>
            </w:pPr>
            <w:r>
              <w:rPr>
                <w:rFonts w:ascii="Times New Roman" w:cs="Times New Roman" w:eastAsia="Times New Roman" w:hAnsi="Times New Roman"/>
                <w:sz w:val="18"/>
                <w:szCs w:val="18"/>
                <w:b w:val="1"/>
                <w:bCs w:val="1"/>
                <w:color w:val="auto"/>
              </w:rPr>
              <w:t>Derivatives not designated as hedging</w:t>
            </w:r>
          </w:p>
        </w:tc>
        <w:tc>
          <w:tcPr>
            <w:tcW w:w="130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52"/>
        </w:trPr>
        <w:tc>
          <w:tcPr>
            <w:tcW w:w="41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b w:val="1"/>
                <w:bCs w:val="1"/>
                <w:color w:val="auto"/>
              </w:rPr>
              <w:t>instruments under ASC Topic 815</w:t>
            </w:r>
          </w:p>
        </w:tc>
        <w:tc>
          <w:tcPr>
            <w:tcW w:w="13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6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4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exchange contracts</w:t>
            </w:r>
          </w:p>
        </w:tc>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Prepaid and other</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4180" w:type="dxa"/>
            <w:vAlign w:val="bottom"/>
          </w:tcPr>
          <w:p>
            <w:pPr>
              <w:spacing w:after="0"/>
              <w:rPr>
                <w:sz w:val="20"/>
                <w:szCs w:val="20"/>
                <w:color w:val="auto"/>
              </w:rPr>
            </w:pPr>
          </w:p>
        </w:tc>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5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ind w:left="480"/>
              <w:spacing w:after="0"/>
              <w:rPr>
                <w:sz w:val="20"/>
                <w:szCs w:val="20"/>
                <w:color w:val="auto"/>
              </w:rPr>
            </w:pPr>
            <w:r>
              <w:rPr>
                <w:rFonts w:ascii="Times New Roman" w:cs="Times New Roman" w:eastAsia="Times New Roman" w:hAnsi="Times New Roman"/>
                <w:sz w:val="18"/>
                <w:szCs w:val="18"/>
                <w:color w:val="auto"/>
                <w:w w:val="88"/>
              </w:rPr>
              <w:t>10</w:t>
            </w:r>
          </w:p>
        </w:tc>
        <w:tc>
          <w:tcPr>
            <w:tcW w:w="580" w:type="dxa"/>
            <w:vAlign w:val="bottom"/>
            <w:gridSpan w:val="2"/>
          </w:tcPr>
          <w:p>
            <w:pPr>
              <w:jc w:val="right"/>
              <w:ind w:right="139"/>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20" w:type="dxa"/>
            <w:vAlign w:val="bottom"/>
          </w:tcPr>
          <w:p>
            <w:pPr>
              <w:spacing w:after="0"/>
              <w:rPr>
                <w:sz w:val="20"/>
                <w:szCs w:val="20"/>
                <w:color w:val="auto"/>
              </w:rPr>
            </w:pPr>
          </w:p>
        </w:tc>
        <w:tc>
          <w:tcPr>
            <w:tcW w:w="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520" w:type="dxa"/>
            <w:vAlign w:val="bottom"/>
            <w:gridSpan w:val="2"/>
          </w:tcPr>
          <w:p>
            <w:pPr>
              <w:jc w:val="right"/>
              <w:ind w:right="119"/>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4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Foreign exchange contracts</w:t>
            </w:r>
          </w:p>
        </w:tc>
        <w:tc>
          <w:tcPr>
            <w:tcW w:w="1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60" w:type="dxa"/>
            <w:vAlign w:val="bottom"/>
            <w:vMerge w:val="restart"/>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6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6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180" w:type="dxa"/>
            <w:vAlign w:val="bottom"/>
            <w:tcBorders>
              <w:bottom w:val="single" w:sz="8" w:color="CFF0FC"/>
            </w:tcBorders>
            <w:shd w:val="clear" w:color="auto" w:fill="CFF0FC"/>
          </w:tcPr>
          <w:p>
            <w:pPr>
              <w:spacing w:after="0"/>
              <w:rPr>
                <w:sz w:val="20"/>
                <w:szCs w:val="20"/>
                <w:color w:val="auto"/>
              </w:rPr>
            </w:pPr>
          </w:p>
        </w:tc>
        <w:tc>
          <w:tcPr>
            <w:tcW w:w="130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660" w:type="dxa"/>
            <w:vAlign w:val="bottom"/>
            <w:tcBorders>
              <w:bottom w:val="single" w:sz="8" w:color="auto"/>
            </w:tcBorders>
            <w:vMerge w:val="continue"/>
            <w:shd w:val="clear" w:color="auto" w:fill="CFF0FC"/>
          </w:tcPr>
          <w:p>
            <w:pPr>
              <w:spacing w:after="0"/>
              <w:rPr>
                <w:sz w:val="20"/>
                <w:szCs w:val="20"/>
                <w:color w:val="auto"/>
              </w:rPr>
            </w:pPr>
          </w:p>
        </w:tc>
        <w:tc>
          <w:tcPr>
            <w:tcW w:w="26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spacing w:after="0"/>
              <w:rPr>
                <w:sz w:val="20"/>
                <w:szCs w:val="20"/>
                <w:color w:val="auto"/>
              </w:rPr>
            </w:pPr>
          </w:p>
        </w:tc>
        <w:tc>
          <w:tcPr>
            <w:tcW w:w="680" w:type="dxa"/>
            <w:vAlign w:val="bottom"/>
            <w:tcBorders>
              <w:bottom w:val="single" w:sz="8" w:color="auto"/>
            </w:tcBorders>
            <w:vMerge w:val="continue"/>
            <w:shd w:val="clear" w:color="auto" w:fill="CFF0FC"/>
          </w:tcPr>
          <w:p>
            <w:pPr>
              <w:spacing w:after="0"/>
              <w:rPr>
                <w:sz w:val="20"/>
                <w:szCs w:val="20"/>
                <w:color w:val="auto"/>
              </w:rPr>
            </w:pPr>
          </w:p>
        </w:tc>
        <w:tc>
          <w:tcPr>
            <w:tcW w:w="220" w:type="dxa"/>
            <w:vAlign w:val="bottom"/>
            <w:tcBorders>
              <w:bottom w:val="single" w:sz="8" w:color="CFF0FC"/>
            </w:tcBorders>
            <w:shd w:val="clear" w:color="auto" w:fill="CFF0FC"/>
          </w:tcPr>
          <w:p>
            <w:pPr>
              <w:spacing w:after="0"/>
              <w:rPr>
                <w:sz w:val="20"/>
                <w:szCs w:val="20"/>
                <w:color w:val="auto"/>
              </w:rPr>
            </w:pPr>
          </w:p>
        </w:tc>
        <w:tc>
          <w:tcPr>
            <w:tcW w:w="8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8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700" w:type="dxa"/>
            <w:vAlign w:val="bottom"/>
            <w:tcBorders>
              <w:bottom w:val="single" w:sz="8" w:color="auto"/>
            </w:tcBorders>
            <w:vMerge w:val="continue"/>
            <w:shd w:val="clear" w:color="auto" w:fill="CFF0FC"/>
          </w:tcPr>
          <w:p>
            <w:pPr>
              <w:spacing w:after="0"/>
              <w:rPr>
                <w:sz w:val="20"/>
                <w:szCs w:val="20"/>
                <w:color w:val="auto"/>
              </w:rPr>
            </w:pPr>
          </w:p>
        </w:tc>
        <w:tc>
          <w:tcPr>
            <w:tcW w:w="22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660" w:type="dxa"/>
            <w:vAlign w:val="bottom"/>
            <w:tcBorders>
              <w:bottom w:val="single" w:sz="8" w:color="auto"/>
            </w:tcBorders>
            <w:vMerge w:val="continue"/>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0"/>
        </w:trPr>
        <w:tc>
          <w:tcPr>
            <w:tcW w:w="4180" w:type="dxa"/>
            <w:vAlign w:val="bottom"/>
          </w:tcPr>
          <w:p>
            <w:pPr>
              <w:ind w:left="20"/>
              <w:spacing w:after="0" w:line="201" w:lineRule="exact"/>
              <w:rPr>
                <w:sz w:val="20"/>
                <w:szCs w:val="20"/>
                <w:color w:val="auto"/>
              </w:rPr>
            </w:pPr>
            <w:r>
              <w:rPr>
                <w:rFonts w:ascii="Times New Roman" w:cs="Times New Roman" w:eastAsia="Times New Roman" w:hAnsi="Times New Roman"/>
                <w:sz w:val="18"/>
                <w:szCs w:val="18"/>
                <w:b w:val="1"/>
                <w:bCs w:val="1"/>
                <w:color w:val="auto"/>
              </w:rPr>
              <w:t>Total derivatives not designated as</w:t>
            </w:r>
          </w:p>
        </w:tc>
        <w:tc>
          <w:tcPr>
            <w:tcW w:w="1300" w:type="dxa"/>
            <w:vAlign w:val="bottom"/>
          </w:tcPr>
          <w:p>
            <w:pPr>
              <w:spacing w:after="0"/>
              <w:rPr>
                <w:sz w:val="17"/>
                <w:szCs w:val="17"/>
                <w:color w:val="auto"/>
              </w:rPr>
            </w:pPr>
          </w:p>
        </w:tc>
        <w:tc>
          <w:tcPr>
            <w:tcW w:w="5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vMerge w:val="restart"/>
          </w:tcPr>
          <w:p>
            <w:pPr>
              <w:ind w:left="480"/>
              <w:spacing w:after="0"/>
              <w:rPr>
                <w:sz w:val="20"/>
                <w:szCs w:val="20"/>
                <w:color w:val="auto"/>
              </w:rPr>
            </w:pPr>
            <w:r>
              <w:rPr>
                <w:rFonts w:ascii="Times New Roman" w:cs="Times New Roman" w:eastAsia="Times New Roman" w:hAnsi="Times New Roman"/>
                <w:sz w:val="18"/>
                <w:szCs w:val="18"/>
                <w:color w:val="auto"/>
                <w:w w:val="88"/>
              </w:rPr>
              <w:t>10</w:t>
            </w:r>
          </w:p>
        </w:tc>
        <w:tc>
          <w:tcPr>
            <w:tcW w:w="580" w:type="dxa"/>
            <w:vAlign w:val="bottom"/>
            <w:gridSpan w:val="2"/>
            <w:vMerge w:val="restart"/>
          </w:tcPr>
          <w:p>
            <w:pPr>
              <w:jc w:val="right"/>
              <w:ind w:right="139"/>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520" w:type="dxa"/>
            <w:vAlign w:val="bottom"/>
            <w:gridSpan w:val="2"/>
            <w:vMerge w:val="restart"/>
          </w:tcPr>
          <w:p>
            <w:pPr>
              <w:jc w:val="right"/>
              <w:ind w:right="119"/>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418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hedging instruments under ASC Topic 815</w:t>
            </w:r>
          </w:p>
        </w:tc>
        <w:tc>
          <w:tcPr>
            <w:tcW w:w="1300" w:type="dxa"/>
            <w:vAlign w:val="bottom"/>
          </w:tcPr>
          <w:p>
            <w:pPr>
              <w:spacing w:after="0"/>
              <w:rPr>
                <w:sz w:val="18"/>
                <w:szCs w:val="18"/>
                <w:color w:val="auto"/>
              </w:rPr>
            </w:pPr>
          </w:p>
        </w:tc>
        <w:tc>
          <w:tcPr>
            <w:tcW w:w="520" w:type="dxa"/>
            <w:vAlign w:val="bottom"/>
            <w:gridSpan w:val="3"/>
            <w:vMerge w:val="continue"/>
          </w:tcPr>
          <w:p>
            <w:pPr>
              <w:spacing w:after="0"/>
              <w:rPr>
                <w:sz w:val="18"/>
                <w:szCs w:val="18"/>
                <w:color w:val="auto"/>
              </w:rPr>
            </w:pPr>
          </w:p>
        </w:tc>
        <w:tc>
          <w:tcPr>
            <w:tcW w:w="660" w:type="dxa"/>
            <w:vAlign w:val="bottom"/>
            <w:vMerge w:val="continue"/>
          </w:tcPr>
          <w:p>
            <w:pPr>
              <w:spacing w:after="0"/>
              <w:rPr>
                <w:sz w:val="18"/>
                <w:szCs w:val="18"/>
                <w:color w:val="auto"/>
              </w:rPr>
            </w:pPr>
          </w:p>
        </w:tc>
        <w:tc>
          <w:tcPr>
            <w:tcW w:w="580" w:type="dxa"/>
            <w:vAlign w:val="bottom"/>
            <w:gridSpan w:val="2"/>
            <w:vMerge w:val="continue"/>
          </w:tcPr>
          <w:p>
            <w:pPr>
              <w:spacing w:after="0"/>
              <w:rPr>
                <w:sz w:val="18"/>
                <w:szCs w:val="18"/>
                <w:color w:val="auto"/>
              </w:rPr>
            </w:pPr>
          </w:p>
        </w:tc>
        <w:tc>
          <w:tcPr>
            <w:tcW w:w="68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gridSpan w:val="3"/>
            <w:vMerge w:val="continue"/>
          </w:tcPr>
          <w:p>
            <w:pPr>
              <w:spacing w:after="0"/>
              <w:rPr>
                <w:sz w:val="18"/>
                <w:szCs w:val="18"/>
                <w:color w:val="auto"/>
              </w:rPr>
            </w:pPr>
          </w:p>
        </w:tc>
        <w:tc>
          <w:tcPr>
            <w:tcW w:w="700" w:type="dxa"/>
            <w:vAlign w:val="bottom"/>
            <w:vMerge w:val="continue"/>
          </w:tcPr>
          <w:p>
            <w:pPr>
              <w:spacing w:after="0"/>
              <w:rPr>
                <w:sz w:val="18"/>
                <w:szCs w:val="18"/>
                <w:color w:val="auto"/>
              </w:rPr>
            </w:pPr>
          </w:p>
        </w:tc>
        <w:tc>
          <w:tcPr>
            <w:tcW w:w="520" w:type="dxa"/>
            <w:vAlign w:val="bottom"/>
            <w:gridSpan w:val="2"/>
            <w:vMerge w:val="continue"/>
          </w:tcPr>
          <w:p>
            <w:pPr>
              <w:spacing w:after="0"/>
              <w:rPr>
                <w:sz w:val="18"/>
                <w:szCs w:val="18"/>
                <w:color w:val="auto"/>
              </w:rPr>
            </w:pPr>
          </w:p>
        </w:tc>
        <w:tc>
          <w:tcPr>
            <w:tcW w:w="6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1"/>
        </w:trPr>
        <w:tc>
          <w:tcPr>
            <w:tcW w:w="41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derivatives</w:t>
            </w:r>
          </w:p>
        </w:tc>
        <w:tc>
          <w:tcPr>
            <w:tcW w:w="1300" w:type="dxa"/>
            <w:vAlign w:val="bottom"/>
            <w:tcBorders>
              <w:bottom w:val="single" w:sz="8" w:color="CFF0FC"/>
            </w:tcBorders>
            <w:shd w:val="clear" w:color="auto" w:fill="CFF0FC"/>
          </w:tcPr>
          <w:p>
            <w:pPr>
              <w:spacing w:after="0"/>
              <w:rPr>
                <w:sz w:val="22"/>
                <w:szCs w:val="22"/>
                <w:color w:val="auto"/>
              </w:rPr>
            </w:pPr>
          </w:p>
        </w:tc>
        <w:tc>
          <w:tcPr>
            <w:tcW w:w="400" w:type="dxa"/>
            <w:vAlign w:val="bottom"/>
            <w:tcBorders>
              <w:bottom w:val="single" w:sz="8" w:color="CFF0FC"/>
            </w:tcBorders>
            <w:gridSpan w:val="2"/>
            <w:shd w:val="clear" w:color="auto" w:fill="CFF0FC"/>
          </w:tcPr>
          <w:p>
            <w:pPr>
              <w:spacing w:after="0"/>
              <w:rPr>
                <w:sz w:val="22"/>
                <w:szCs w:val="22"/>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w w:val="88"/>
              </w:rPr>
              <w:t>10</w:t>
            </w:r>
          </w:p>
        </w:tc>
        <w:tc>
          <w:tcPr>
            <w:tcW w:w="260" w:type="dxa"/>
            <w:vAlign w:val="bottom"/>
            <w:tcBorders>
              <w:bottom w:val="single" w:sz="8" w:color="CFF0FC"/>
            </w:tcBorders>
            <w:shd w:val="clear" w:color="auto" w:fill="CFF0FC"/>
          </w:tcPr>
          <w:p>
            <w:pPr>
              <w:spacing w:after="0"/>
              <w:rPr>
                <w:sz w:val="22"/>
                <w:szCs w:val="22"/>
                <w:color w:val="auto"/>
              </w:rPr>
            </w:pPr>
          </w:p>
        </w:tc>
        <w:tc>
          <w:tcPr>
            <w:tcW w:w="320" w:type="dxa"/>
            <w:vAlign w:val="bottom"/>
            <w:tcBorders>
              <w:bottom w:val="single" w:sz="8" w:color="auto"/>
            </w:tcBorders>
            <w:shd w:val="clear" w:color="auto" w:fill="CFF0FC"/>
          </w:tcPr>
          <w:p>
            <w:pPr>
              <w:jc w:val="right"/>
              <w:ind w:right="139"/>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20" w:type="dxa"/>
            <w:vAlign w:val="bottom"/>
            <w:tcBorders>
              <w:bottom w:val="single" w:sz="8" w:color="CFF0FC"/>
            </w:tcBorders>
            <w:shd w:val="clear" w:color="auto" w:fill="CFF0FC"/>
          </w:tcPr>
          <w:p>
            <w:pPr>
              <w:spacing w:after="0"/>
              <w:rPr>
                <w:sz w:val="22"/>
                <w:szCs w:val="22"/>
                <w:color w:val="auto"/>
              </w:rPr>
            </w:pPr>
          </w:p>
        </w:tc>
        <w:tc>
          <w:tcPr>
            <w:tcW w:w="80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CFF0FC"/>
            </w:tcBorders>
            <w:gridSpan w:val="2"/>
            <w:shd w:val="clear" w:color="auto" w:fill="CFF0FC"/>
          </w:tcPr>
          <w:p>
            <w:pPr>
              <w:spacing w:after="0"/>
              <w:rPr>
                <w:sz w:val="22"/>
                <w:szCs w:val="22"/>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20" w:type="dxa"/>
            <w:vAlign w:val="bottom"/>
            <w:tcBorders>
              <w:bottom w:val="single" w:sz="8" w:color="CFF0FC"/>
            </w:tcBorders>
            <w:shd w:val="clear" w:color="auto" w:fill="CFF0FC"/>
          </w:tcPr>
          <w:p>
            <w:pPr>
              <w:spacing w:after="0"/>
              <w:rPr>
                <w:sz w:val="22"/>
                <w:szCs w:val="22"/>
                <w:color w:val="auto"/>
              </w:rPr>
            </w:pPr>
          </w:p>
        </w:tc>
        <w:tc>
          <w:tcPr>
            <w:tcW w:w="300" w:type="dxa"/>
            <w:vAlign w:val="bottom"/>
            <w:tcBorders>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4234815</wp:posOffset>
            </wp:positionH>
            <wp:positionV relativeFrom="paragraph">
              <wp:posOffset>-1643380</wp:posOffset>
            </wp:positionV>
            <wp:extent cx="76835"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5031105</wp:posOffset>
            </wp:positionH>
            <wp:positionV relativeFrom="paragraph">
              <wp:posOffset>-1643380</wp:posOffset>
            </wp:positionV>
            <wp:extent cx="6858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6323965</wp:posOffset>
            </wp:positionH>
            <wp:positionV relativeFrom="paragraph">
              <wp:posOffset>-1643380</wp:posOffset>
            </wp:positionV>
            <wp:extent cx="6858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-1643380</wp:posOffset>
            </wp:positionV>
            <wp:extent cx="6858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4234815</wp:posOffset>
            </wp:positionH>
            <wp:positionV relativeFrom="paragraph">
              <wp:posOffset>-478790</wp:posOffset>
            </wp:positionV>
            <wp:extent cx="76835"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5031105</wp:posOffset>
            </wp:positionH>
            <wp:positionV relativeFrom="paragraph">
              <wp:posOffset>-478790</wp:posOffset>
            </wp:positionV>
            <wp:extent cx="6858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6323965</wp:posOffset>
            </wp:positionH>
            <wp:positionV relativeFrom="paragraph">
              <wp:posOffset>-478790</wp:posOffset>
            </wp:positionV>
            <wp:extent cx="6858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-478790</wp:posOffset>
            </wp:positionV>
            <wp:extent cx="6858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4234815</wp:posOffset>
            </wp:positionH>
            <wp:positionV relativeFrom="paragraph">
              <wp:posOffset>-24765</wp:posOffset>
            </wp:positionV>
            <wp:extent cx="76835"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4234815</wp:posOffset>
            </wp:positionH>
            <wp:positionV relativeFrom="paragraph">
              <wp:posOffset>-7620</wp:posOffset>
            </wp:positionV>
            <wp:extent cx="76835"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5031105</wp:posOffset>
            </wp:positionH>
            <wp:positionV relativeFrom="paragraph">
              <wp:posOffset>-24765</wp:posOffset>
            </wp:positionV>
            <wp:extent cx="6858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5031105</wp:posOffset>
            </wp:positionH>
            <wp:positionV relativeFrom="paragraph">
              <wp:posOffset>-7620</wp:posOffset>
            </wp:positionV>
            <wp:extent cx="6858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6323965</wp:posOffset>
            </wp:positionH>
            <wp:positionV relativeFrom="paragraph">
              <wp:posOffset>-24765</wp:posOffset>
            </wp:positionV>
            <wp:extent cx="6858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6323965</wp:posOffset>
            </wp:positionH>
            <wp:positionV relativeFrom="paragraph">
              <wp:posOffset>-7620</wp:posOffset>
            </wp:positionV>
            <wp:extent cx="6858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Net Income Attributable to Company Per Share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computation of weighted average basic and diluted shares outstanding (in millions, except per share data):</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8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488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ind w:right="33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6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880" w:type="dxa"/>
            <w:vAlign w:val="bottom"/>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4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860" w:type="dxa"/>
            <w:vAlign w:val="bottom"/>
            <w:shd w:val="clear" w:color="auto" w:fill="CFF0FC"/>
          </w:tcPr>
          <w:p>
            <w:pPr>
              <w:spacing w:after="0"/>
              <w:rPr>
                <w:sz w:val="20"/>
                <w:szCs w:val="20"/>
                <w:color w:val="auto"/>
              </w:rPr>
            </w:pPr>
          </w:p>
        </w:tc>
        <w:tc>
          <w:tcPr>
            <w:tcW w:w="52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52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48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48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income attributable to Company</w:t>
            </w:r>
          </w:p>
        </w:tc>
        <w:tc>
          <w:tcPr>
            <w:tcW w:w="860" w:type="dxa"/>
            <w:vAlign w:val="bottom"/>
          </w:tcPr>
          <w:p>
            <w:pPr>
              <w:jc w:val="right"/>
              <w:ind w:right="653"/>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840" w:type="dxa"/>
            <w:vAlign w:val="bottom"/>
            <w:gridSpan w:val="2"/>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5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72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8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4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Denominator:</w:t>
            </w:r>
          </w:p>
        </w:tc>
        <w:tc>
          <w:tcPr>
            <w:tcW w:w="86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48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Basic—weighted average common shares outstanding</w:t>
            </w:r>
          </w:p>
        </w:tc>
        <w:tc>
          <w:tcPr>
            <w:tcW w:w="86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3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48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Dilutive effect of employee stock options and other</w:t>
            </w:r>
          </w:p>
        </w:tc>
        <w:tc>
          <w:tcPr>
            <w:tcW w:w="860" w:type="dxa"/>
            <w:vAlign w:val="bottom"/>
            <w:shd w:val="clear" w:color="auto" w:fill="CFF0FC"/>
          </w:tcPr>
          <w:p>
            <w:pPr>
              <w:spacing w:after="0"/>
              <w:rPr>
                <w:sz w:val="18"/>
                <w:szCs w:val="18"/>
                <w:color w:val="auto"/>
              </w:rPr>
            </w:pPr>
          </w:p>
        </w:tc>
        <w:tc>
          <w:tcPr>
            <w:tcW w:w="5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3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8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8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8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unvested stock awards</w:t>
            </w:r>
          </w:p>
        </w:tc>
        <w:tc>
          <w:tcPr>
            <w:tcW w:w="860" w:type="dxa"/>
            <w:vAlign w:val="bottom"/>
            <w:tcBorders>
              <w:bottom w:val="single" w:sz="8" w:color="auto"/>
            </w:tcBorders>
            <w:shd w:val="clear" w:color="auto" w:fill="CFF0FC"/>
          </w:tcPr>
          <w:p>
            <w:pPr>
              <w:spacing w:after="0"/>
              <w:rPr>
                <w:sz w:val="20"/>
                <w:szCs w:val="20"/>
                <w:color w:val="auto"/>
              </w:rPr>
            </w:pPr>
          </w:p>
        </w:tc>
        <w:tc>
          <w:tcPr>
            <w:tcW w:w="520" w:type="dxa"/>
            <w:vAlign w:val="bottom"/>
            <w:tcBorders>
              <w:bottom w:val="single" w:sz="8" w:color="auto"/>
            </w:tcBorders>
            <w:vMerge w:val="continue"/>
            <w:shd w:val="clear" w:color="auto" w:fill="CFF0FC"/>
          </w:tcPr>
          <w:p>
            <w:pPr>
              <w:spacing w:after="0"/>
              <w:rPr>
                <w:sz w:val="20"/>
                <w:szCs w:val="20"/>
                <w:color w:val="auto"/>
              </w:rPr>
            </w:pPr>
          </w:p>
        </w:tc>
        <w:tc>
          <w:tcPr>
            <w:tcW w:w="320" w:type="dxa"/>
            <w:vAlign w:val="bottom"/>
            <w:tcBorders>
              <w:bottom w:val="single" w:sz="8" w:color="CFF0FC"/>
            </w:tcBorders>
            <w:shd w:val="clear" w:color="auto" w:fill="CFF0FC"/>
          </w:tcPr>
          <w:p>
            <w:pPr>
              <w:spacing w:after="0"/>
              <w:rPr>
                <w:sz w:val="20"/>
                <w:szCs w:val="20"/>
                <w:color w:val="auto"/>
              </w:rPr>
            </w:pPr>
          </w:p>
        </w:tc>
        <w:tc>
          <w:tcPr>
            <w:tcW w:w="520" w:type="dxa"/>
            <w:vAlign w:val="bottom"/>
            <w:tcBorders>
              <w:bottom w:val="single" w:sz="8" w:color="auto"/>
            </w:tcBorders>
            <w:shd w:val="clear" w:color="auto" w:fill="CFF0FC"/>
          </w:tcPr>
          <w:p>
            <w:pPr>
              <w:spacing w:after="0"/>
              <w:rPr>
                <w:sz w:val="20"/>
                <w:szCs w:val="20"/>
                <w:color w:val="auto"/>
              </w:rPr>
            </w:pPr>
          </w:p>
        </w:tc>
        <w:tc>
          <w:tcPr>
            <w:tcW w:w="860" w:type="dxa"/>
            <w:vAlign w:val="bottom"/>
            <w:tcBorders>
              <w:bottom w:val="single" w:sz="8" w:color="auto"/>
            </w:tcBorders>
            <w:vMerge w:val="continue"/>
            <w:shd w:val="clear" w:color="auto" w:fill="CFF0FC"/>
          </w:tcPr>
          <w:p>
            <w:pPr>
              <w:spacing w:after="0"/>
              <w:rPr>
                <w:sz w:val="20"/>
                <w:szCs w:val="20"/>
                <w:color w:val="auto"/>
              </w:rPr>
            </w:pPr>
          </w:p>
        </w:tc>
        <w:tc>
          <w:tcPr>
            <w:tcW w:w="26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vMerge w:val="continue"/>
            <w:shd w:val="clear" w:color="auto" w:fill="CFF0FC"/>
          </w:tcPr>
          <w:p>
            <w:pPr>
              <w:spacing w:after="0"/>
              <w:rPr>
                <w:sz w:val="20"/>
                <w:szCs w:val="20"/>
                <w:color w:val="auto"/>
              </w:rPr>
            </w:pPr>
          </w:p>
        </w:tc>
        <w:tc>
          <w:tcPr>
            <w:tcW w:w="240" w:type="dxa"/>
            <w:vAlign w:val="bottom"/>
            <w:tcBorders>
              <w:bottom w:val="single" w:sz="8" w:color="CFF0FC"/>
            </w:tcBorders>
            <w:shd w:val="clear" w:color="auto" w:fill="CFF0FC"/>
          </w:tcPr>
          <w:p>
            <w:pPr>
              <w:spacing w:after="0"/>
              <w:rPr>
                <w:sz w:val="20"/>
                <w:szCs w:val="20"/>
                <w:color w:val="auto"/>
              </w:rPr>
            </w:pPr>
          </w:p>
        </w:tc>
        <w:tc>
          <w:tcPr>
            <w:tcW w:w="480" w:type="dxa"/>
            <w:vAlign w:val="bottom"/>
            <w:tcBorders>
              <w:bottom w:val="single" w:sz="8" w:color="auto"/>
            </w:tcBorders>
            <w:shd w:val="clear" w:color="auto" w:fill="CFF0FC"/>
          </w:tcPr>
          <w:p>
            <w:pPr>
              <w:spacing w:after="0"/>
              <w:rPr>
                <w:sz w:val="20"/>
                <w:szCs w:val="20"/>
                <w:color w:val="auto"/>
              </w:rPr>
            </w:pPr>
          </w:p>
        </w:tc>
        <w:tc>
          <w:tcPr>
            <w:tcW w:w="860" w:type="dxa"/>
            <w:vAlign w:val="bottom"/>
            <w:tcBorders>
              <w:bottom w:val="single" w:sz="8" w:color="auto"/>
            </w:tcBorders>
            <w:vMerge w:val="continue"/>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48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Diluted outstanding shares</w:t>
            </w:r>
          </w:p>
        </w:tc>
        <w:tc>
          <w:tcPr>
            <w:tcW w:w="86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32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2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24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8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48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attributable to Company per share:</w:t>
            </w:r>
          </w:p>
        </w:tc>
        <w:tc>
          <w:tcPr>
            <w:tcW w:w="8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48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Basic</w:t>
            </w:r>
          </w:p>
        </w:tc>
        <w:tc>
          <w:tcPr>
            <w:tcW w:w="860" w:type="dxa"/>
            <w:vAlign w:val="bottom"/>
            <w:tcBorders>
              <w:bottom w:val="single" w:sz="8" w:color="auto"/>
            </w:tcBorders>
            <w:shd w:val="clear" w:color="auto" w:fill="CFF0FC"/>
          </w:tcPr>
          <w:p>
            <w:pPr>
              <w:jc w:val="right"/>
              <w:ind w:right="653"/>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0.57</w:t>
            </w:r>
          </w:p>
        </w:tc>
        <w:tc>
          <w:tcPr>
            <w:tcW w:w="320" w:type="dxa"/>
            <w:vAlign w:val="bottom"/>
            <w:tcBorders>
              <w:bottom w:val="single" w:sz="8" w:color="CFF0FC"/>
            </w:tcBorders>
            <w:shd w:val="clear" w:color="auto" w:fill="CFF0FC"/>
          </w:tcPr>
          <w:p>
            <w:pPr>
              <w:spacing w:after="0"/>
              <w:rPr>
                <w:sz w:val="24"/>
                <w:szCs w:val="24"/>
                <w:color w:val="auto"/>
              </w:rPr>
            </w:pPr>
          </w:p>
        </w:tc>
        <w:tc>
          <w:tcPr>
            <w:tcW w:w="520" w:type="dxa"/>
            <w:vAlign w:val="bottom"/>
            <w:tcBorders>
              <w:bottom w:val="single" w:sz="8" w:color="auto"/>
            </w:tcBorders>
            <w:shd w:val="clear" w:color="auto" w:fill="CFF0FC"/>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0.39</w:t>
            </w:r>
          </w:p>
        </w:tc>
        <w:tc>
          <w:tcPr>
            <w:tcW w:w="26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0.88</w:t>
            </w:r>
          </w:p>
        </w:tc>
        <w:tc>
          <w:tcPr>
            <w:tcW w:w="240" w:type="dxa"/>
            <w:vAlign w:val="bottom"/>
            <w:tcBorders>
              <w:bottom w:val="single" w:sz="8" w:color="CFF0FC"/>
            </w:tcBorders>
            <w:shd w:val="clear" w:color="auto" w:fill="CFF0FC"/>
          </w:tcPr>
          <w:p>
            <w:pPr>
              <w:spacing w:after="0"/>
              <w:rPr>
                <w:sz w:val="24"/>
                <w:szCs w:val="24"/>
                <w:color w:val="auto"/>
              </w:rPr>
            </w:pPr>
          </w:p>
        </w:tc>
        <w:tc>
          <w:tcPr>
            <w:tcW w:w="480" w:type="dxa"/>
            <w:vAlign w:val="bottom"/>
            <w:tcBorders>
              <w:bottom w:val="single" w:sz="8" w:color="auto"/>
            </w:tcBorders>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0.72</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8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Diluted</w:t>
            </w:r>
          </w:p>
        </w:tc>
        <w:tc>
          <w:tcPr>
            <w:tcW w:w="860" w:type="dxa"/>
            <w:vAlign w:val="bottom"/>
          </w:tcPr>
          <w:p>
            <w:pPr>
              <w:jc w:val="right"/>
              <w:ind w:right="653"/>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0.57</w:t>
            </w:r>
          </w:p>
        </w:tc>
        <w:tc>
          <w:tcPr>
            <w:tcW w:w="840" w:type="dxa"/>
            <w:vAlign w:val="bottom"/>
            <w:gridSpan w:val="2"/>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0.39</w:t>
            </w:r>
          </w:p>
        </w:tc>
        <w:tc>
          <w:tcPr>
            <w:tcW w:w="5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0.87</w:t>
            </w:r>
          </w:p>
        </w:tc>
        <w:tc>
          <w:tcPr>
            <w:tcW w:w="72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48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dividends per share</w:t>
            </w:r>
          </w:p>
        </w:tc>
        <w:tc>
          <w:tcPr>
            <w:tcW w:w="860" w:type="dxa"/>
            <w:vAlign w:val="bottom"/>
          </w:tcPr>
          <w:p>
            <w:pPr>
              <w:jc w:val="right"/>
              <w:ind w:right="653"/>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0.075</w:t>
            </w:r>
          </w:p>
        </w:tc>
        <w:tc>
          <w:tcPr>
            <w:tcW w:w="840" w:type="dxa"/>
            <w:vAlign w:val="bottom"/>
            <w:gridSpan w:val="2"/>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5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0.125</w:t>
            </w:r>
          </w:p>
        </w:tc>
        <w:tc>
          <w:tcPr>
            <w:tcW w:w="72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8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2"/>
        </w:trPr>
        <w:tc>
          <w:tcPr>
            <w:tcW w:w="48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9"/>
        </w:trPr>
        <w:tc>
          <w:tcPr>
            <w:tcW w:w="488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3969385</wp:posOffset>
            </wp:positionH>
            <wp:positionV relativeFrom="paragraph">
              <wp:posOffset>-2088515</wp:posOffset>
            </wp:positionV>
            <wp:extent cx="76835"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5048250</wp:posOffset>
            </wp:positionH>
            <wp:positionV relativeFrom="paragraph">
              <wp:posOffset>-2088515</wp:posOffset>
            </wp:positionV>
            <wp:extent cx="76835"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6067425</wp:posOffset>
            </wp:positionH>
            <wp:positionV relativeFrom="paragraph">
              <wp:posOffset>-2088515</wp:posOffset>
            </wp:positionV>
            <wp:extent cx="6858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-2088515</wp:posOffset>
            </wp:positionV>
            <wp:extent cx="6858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3969385</wp:posOffset>
            </wp:positionH>
            <wp:positionV relativeFrom="paragraph">
              <wp:posOffset>-1437640</wp:posOffset>
            </wp:positionV>
            <wp:extent cx="76835"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3969385</wp:posOffset>
            </wp:positionH>
            <wp:positionV relativeFrom="paragraph">
              <wp:posOffset>-1420495</wp:posOffset>
            </wp:positionV>
            <wp:extent cx="76835"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5048250</wp:posOffset>
            </wp:positionH>
            <wp:positionV relativeFrom="paragraph">
              <wp:posOffset>-1437640</wp:posOffset>
            </wp:positionV>
            <wp:extent cx="76835"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5048250</wp:posOffset>
            </wp:positionH>
            <wp:positionV relativeFrom="paragraph">
              <wp:posOffset>-1420495</wp:posOffset>
            </wp:positionV>
            <wp:extent cx="76835"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6067425</wp:posOffset>
            </wp:positionH>
            <wp:positionV relativeFrom="paragraph">
              <wp:posOffset>-1437640</wp:posOffset>
            </wp:positionV>
            <wp:extent cx="6858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6067425</wp:posOffset>
            </wp:positionH>
            <wp:positionV relativeFrom="paragraph">
              <wp:posOffset>-1420495</wp:posOffset>
            </wp:positionV>
            <wp:extent cx="6858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-1437640</wp:posOffset>
            </wp:positionV>
            <wp:extent cx="6858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-1420495</wp:posOffset>
            </wp:positionV>
            <wp:extent cx="6858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15" w:name="page16"/>
    <w:bookmarkEnd w:id="15"/>
    <w:p>
      <w:pPr>
        <w:jc w:val="both"/>
        <w:spacing w:after="0" w:line="260" w:lineRule="auto"/>
        <w:rPr>
          <w:sz w:val="20"/>
          <w:szCs w:val="20"/>
          <w:color w:val="auto"/>
        </w:rPr>
      </w:pPr>
      <w:r>
        <w:rPr>
          <w:rFonts w:ascii="Times New Roman" w:cs="Times New Roman" w:eastAsia="Times New Roman" w:hAnsi="Times New Roman"/>
          <w:sz w:val="18"/>
          <w:szCs w:val="18"/>
          <w:color w:val="auto"/>
        </w:rPr>
        <w:t>Companies with unvested participating securities are required to utilize a two-class method for the computation of net income attributable to Company per share. The two-class method requires a portion of net income attributable to Company to be allocated to participating securities, which are unvested awards of share-based payments with non-forfeitable rights to receive dividends or dividend equivalents if declared. Net income attributable to the Company allocated to these participating securities was immaterial for each of the three and six months ended June 30, 2024 and 2024, respectively.</w:t>
      </w:r>
    </w:p>
    <w:p>
      <w:pPr>
        <w:spacing w:after="0" w:line="74"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8"/>
          <w:szCs w:val="18"/>
          <w:color w:val="auto"/>
        </w:rPr>
        <w:t>The Company had stock options outstanding that were anti-dilutive totaling 16 million shares for each of the three and six months ended June 30, 2024, respectively, compared to 23 million and 22 million shares for the three and six months ended June 30, 2023, respectively.</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Cash Dividends</w:t>
      </w:r>
    </w:p>
    <w:p>
      <w:pPr>
        <w:spacing w:after="0" w:line="12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Cash dividends were $30 million and $50 million for the three and six months ended June 30, 2024, compared to $20 million and $40 million for the three and six months ended June 30, 2023. The declaration and payment of future dividends is at the discretion of the Company’s Board of Directors and will be dependent upon the Company’s results of operations, financial condition, capital requirements and other factors deemed relevant by the Company’s Board of Directors.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6"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15.  Commitments and Contingencies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business is governed by laws and regulations, including those directed to the oilfield service industry, promulgated by U.S. federal and state governments and regulatory agencies, as well as international governmental authorities in the many countries in which we conduct business. In the United States these governmental authorities include the U.S. Department of Labor, the Occupational Safety and Health Administration, the Environmental Protection Agency, the Bureau of Land Management, the Department of Treasury, Office of Foreign Assets Control, state environmental agencies and many others. We are unaware of any material liabilities in connection with our compliance with such laws. New laws, investigations, regulations and enforcement policies may result in additional, presently unquantifiable, or unknown, costs or liabilities.</w:t>
      </w:r>
    </w:p>
    <w:p>
      <w:pPr>
        <w:spacing w:after="0" w:line="7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From time to time, the Company is involved in various claims, regulatory agency audits, investigations and legal actions involving a variety of matters. The Company maintains insurance that covers claims such as third-party personal injuries or property damage arising from risks associated with the business activities of the Company, such as premises liability, product liability, personal injury, marine risk, property damage, and other such insurable losses. The Company carries substantial insurance to cover insurable risks above a self-insured retention. The Company believes, and the Company’s experience has been, that such insurance has been sufficient to cover any material risks.</w:t>
      </w:r>
    </w:p>
    <w:p>
      <w:pPr>
        <w:spacing w:after="0" w:line="7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Company is also a party to claims, threatened and actual litigation, arbitration, and internal investigations of potential regulatory and compliance matters which may arise from the Company’s business activities. These regulatory matters and disputes may involve private parties and/or government authorities who may assert a broad variety of potential claims against the Company, such as employment law claims, collective actions or class action claims, intellectual property claims (such as alleged patent infringement, and/or misappropriation of trade secrets by the Company), premises liability claims, environmental claims, product liability claims, warranty claims, personal injury claims arising from exposure to or use of allegedly defective products or from activities of the Company, alleged regulatory violations, alleged violations of anti-corruption and anti-bribery, trade, customs or other laws and other commercial and/or regulatory claims seeking recovery for alleged actual or exemplary damages or fines and penalties. Such claims involve various theories of liability which may include negligence, breach of contract, strict liability, product liability, and others. For some of these contingent claims and potential liabilities, the Company’s insurance coverage may not apply, or exclusions to coverage or legal impediments may apply. In such instances, settlement or other resolution of such claims, individually or collectively, could have a material financial or reputational impact on the Company. As of June 30, 2024, the Company recorded reserves in an amount believed to be sufficient, given the estimated range of potential outcomes, for contingent liabilities believed to be probable. These reserves include costs currently and reasonably estimated to be incurred for reclamation of a closed barite mine and product liability claims, as well as other circumstances involving material claims.</w:t>
      </w:r>
    </w:p>
    <w:p>
      <w:pPr>
        <w:spacing w:after="0" w:line="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periodically assesses the potential for losses above the amounts accrued as well as potential losses for matters that are believed to be not probable, but which are reasonably possible. The Company sets accruals in accordance with GAAP based on its best judgment about the probable results of disputed claims, regulatory enforcement actions, tax and other governmental audits, and other contingencies. The litigation process and the outcome of regulatory oversight is inherently uncertain, and our best judgment concerning the probable outcome of litigation or regulatory enforcement matters may prove to be incorrect. No assurance can be given as to the outcome of these matters. The total potential loss on these matters cannot be determined; however, in our opinion, any ultimate liability, to the extent not otherwise provided for, will not materially affect our financial position, cash flow or results of operations. These estimated liabilities are based on the Company’s assessment of the nature of these matters, their progress toward resolution, the advice of legal counsel and outside experts as well as management’s experience. Because of the uncertainty and risk inherent to litigation, arbitration, audits, governmental investigations, enforcement actions, and similar matters, the Company’s actual liabilities incurred may materially exceed our estimated liabilities and reserves, which could have a material financial or reputational impact on the Company.</w:t>
      </w:r>
    </w:p>
    <w:p>
      <w:pPr>
        <w:spacing w:after="0" w:line="8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In many instances, the Company’s products and services embody or incorporate trade secrets or patented inventions. From time to time, we are engaged in disputes concerning protection of the Company’s trade secrets and confidential information, patents, and other intellectual property rights. Such disputes frequently involve complex, factual, technical and/or legal issues which result in high costs to adjudicate our rights and for which it may be difficult to predict the ultimate outcome. At any given time, the Company may be a plaintiff or defendant in disputes involving disputed intellectual property rights.</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17" w:name="page18"/>
    <w:bookmarkEnd w:id="17"/>
    <w:p>
      <w:pPr>
        <w:jc w:val="both"/>
        <w:spacing w:after="0" w:line="251" w:lineRule="auto"/>
        <w:rPr>
          <w:sz w:val="20"/>
          <w:szCs w:val="20"/>
          <w:color w:val="auto"/>
        </w:rPr>
      </w:pPr>
      <w:r>
        <w:rPr>
          <w:rFonts w:ascii="Times New Roman" w:cs="Times New Roman" w:eastAsia="Times New Roman" w:hAnsi="Times New Roman"/>
          <w:sz w:val="18"/>
          <w:szCs w:val="18"/>
          <w:color w:val="auto"/>
        </w:rPr>
        <w:t>The Company is currently pursuing litigation against several companies involving royalties due under licenses for technology related to drill bits. This technology resulted in a portfolio of patents related to leaching technology, a revolutionary technology owned by the Company that improves the performance of drill bits and other products utilizing certain synthetic diamond parts. The Company previously sued several drill bit manufacturers for patent infringement and those lawsuits were resolved by a series of licensing agreements with various drill bit manufacturers. To settle and end litigation or to avoid litigation, the licensees were provided access to the portfolio of leaching patents owned by the Company in exchange for a royalty payment, as defined in each license agreement. The companies agreed to pay the royalties for the right to use the portfolio of patents, whether they used some, all or none of the specific patented claims in any particular patent. The license agreements provide that they terminate on the date of the last to expire of the patents in the licensed portfolio. Having obtained the benefit of these licenses for more than a decade, all of the drill bit manufacturer licensees unilaterally stopped making royalty payments even though all of the patents in the portfolio have not expired. These companies have asserted, among other reasons, that they are entitled to stop making these payments because they claim to not manufacture products covered by the unexpired patents. Some of these companies stopped making payments after the expiration of what are allegedly the patents in the portfolio that they elected to use. Others paid for some period of time after that date but have since stopped making payments. The Company has sued asserting that failure to pay the royalties is a breach of the license agreements at issue. The Company is in litigation with most of the licensees seeking a judicial determination that it is entitled to be paid royalties pursuant to the terms of the licenses. The licensees have responded with a number of alleged defenses and requests for declaratory judgment all focused on avoiding the payments called for under the licenses. The parties’ legal filings to date can be found in two cases currently pending in the United States District Court for the Southern District of Texas: Grant Prideco, Inc., et al. v. Schlumberger Tech. Corp., et al., No. 4:23-cv-00730; and Halliburton Energy Serv, Inc. v. Grant Prideco, Inc., et al., No. 4:23-cv-01789. While the Company strongly believes that the royalties for which it has sued are due and owing pursuant to the terms of the licensing agreements, there is inherent risk with the related litigation and the Company makes no assurances as to the outcome of such litigation. See Note 7 to the Consolidated Financial Statements for discussion of the financial impact of royalties.</w:t>
      </w:r>
    </w:p>
    <w:p>
      <w:pPr>
        <w:spacing w:after="0" w:line="9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The protection of intellectual property is important to the Company’s performance, and as such, an adverse result in disputes related to our intellectual property could result in materially adverse financial consequences such as a decline in sales of products protected by patents, which could materially and adversely impact our financial performance.</w:t>
      </w:r>
    </w:p>
    <w:p>
      <w:pPr>
        <w:spacing w:after="0" w:line="6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From time to time purchasers of our products and services or members of our supply chain or sales chain become involved in litigation, governmental investigations, internal investigations, political or other enforcement matters, or other dispute proceedings. In such circumstances, such proceedings may adversely impact the ability of purchasers of our products, entities providing financial support to such consumers or entities in the supply chain or sales chain to timely perform their business plans or to timely perform under agreements with us. We may, from time to time, become involved in these proceedings at substantial cost to the Company.</w:t>
      </w:r>
    </w:p>
    <w:p>
      <w:pPr>
        <w:spacing w:after="0" w:line="7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is exposed to customs and trade regulation risk in the countries in which we do business and countries from which, or to which, we import or export goods. Such trade regulations can be complex and conflicting, as different countries use trade regulation to promote conflicting policy objectives. Compliance with these laws and regulations presents challenges which could result in future liabilities (for example, alleged violation of those laws or when laws conflict between countries). The Company may face increased tariffs and trade costs, loss of revenue, loss of customers, fines, penalties, increased costs, the need for renegotiation of agreements, and other business disruptions. Trade regulations, supply chain regulations, and other regulatory compliance in different jurisdictions may conflict with one another or with contractual terms with our various counterparties. In such circumstances, our compliance with U.S. laws and regulations may subject us to risk of fines, penalties, or contractual liability in other jurisdictions. Our efforts to actively manage such risks may not always be successful, and this could lead to negative impacts on revenue or earnings. In addition, trade regulations, export controls, and other laws adversely impact our ability to do business in certain countries, e.g., Iran, Syria, Russia, China and Venezuela.</w:t>
      </w:r>
    </w:p>
    <w:p>
      <w:pPr>
        <w:spacing w:after="0" w:line="7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response to additional sanctions enacted by governments in the European Union, the United States, the United Kingdom, Switzerland, and other countries regarding the armed conflict in Ukraine, we ceased new investments in Russia and have curtailed our activities there. During the third quarter of 2022, we sold our business in Belarus and entered into an agreement to sell our business in Russia. The sale is subject to various government approvals in Russia and other jurisdictions. The Russian government continues to enact new laws impacting the exit of western companies from Russia, including some instances of expropriation of western businesses. We may incur additional costs as a result of conditions in Russia if we are unable to complete the transaction to sell our Russian business on the terms of the agreements.</w:t>
      </w:r>
    </w:p>
    <w:p>
      <w:pPr>
        <w:spacing w:after="0" w:line="7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Geopolitical events continue to pose supply chain and other business risks. The Company’s ability to manufacture equipment and perform services could be impaired by such disruptions and the Company could be exposed to liabilities resulting from additional interruption or delay in its ability to perform due to factors such as materials shortages, inflationary pressures, limited manpower or otherwise. We may face loss of workers, labor shortages, litigation, fines and/or other adverse consequences resulting from ongoing labor impacts. The combined impact of supply chain and labor market disruptions along with the inflationary impacts of pandemic monetary and regulatory policies could have material adverse impacts on our financial results.</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18" w:name="page19"/>
    <w:bookmarkEnd w:id="18"/>
    <w:p>
      <w:pPr>
        <w:jc w:val="both"/>
        <w:spacing w:after="0" w:line="255" w:lineRule="auto"/>
        <w:rPr>
          <w:sz w:val="20"/>
          <w:szCs w:val="20"/>
          <w:color w:val="auto"/>
        </w:rPr>
      </w:pPr>
      <w:r>
        <w:rPr>
          <w:rFonts w:ascii="Times New Roman" w:cs="Times New Roman" w:eastAsia="Times New Roman" w:hAnsi="Times New Roman"/>
          <w:sz w:val="18"/>
          <w:szCs w:val="18"/>
          <w:color w:val="auto"/>
        </w:rPr>
        <w:t>Disputes may arise from a variety of causes, including weather impacts, cyber, geopolitical, regulatory or other business risks, triggering application of force majeure and other contract provisions concerning allocation of responsibility among customers, the Company, and suppliers, resulting in material added cost and/or litigation. Our customers may attempt to cancel or delay projects, cancel contracts, or may invoke force majeure clauses. Our customers may also seek to delay or may default on their payments to us. As a result, the Company may be exposed to additional costs, liabilities and risks which could materially adversely impact our financial performance and results. These potential operational and service delays could result in contractual or other legal claims from our customers. At this time, it is not possible to quantify all these risks, but the combination of these factors could have a material impact on our financial results.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Share Repurchase Program</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April 25, 2024, the Company established a share repurchase program for up to $1 billion of the currently outstanding shares of the Company’s common stock over a period of 36 months. Under the share repurchase program, the Company may repurchase shares from time to time through open market purchases, in privately negotiated transactions or by other means, including through the use of trading plans intended to qualify under Rule 10b5-1 under the Securities Exchange Act of 1934 (the “Exchange Act”), as amended, in accordance with applicable securities laws and other restrictions, including Rule 10b-18. The timing and total amount of any stock repurchases will depend upon business, economic and market conditions, corporate and regulatory requirements, prevailing stock prices and other considerations.</w:t>
      </w:r>
    </w:p>
    <w:p>
      <w:pPr>
        <w:spacing w:after="0" w:line="7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intends to fund the repurchases using its available U.S. cash balances, which may involve the repatriation of foreign earnings not indefinitely reinvested. However, depending on U.S cash balances, the Company may choose to borrow against its revolving credit facility or issue new debt to finance the repurchases. As shares are repurchased, they are constructively retired and returned to an unissued state. During the three months ended June 30, 2024, the Company repurchased 2.0 million shares of common stock under the program for an average price of $18.50 per share for an aggregate amount of $37 million.</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19" w:name="page20"/>
    <w:bookmarkEnd w:id="19"/>
    <w:p>
      <w:pPr>
        <w:ind w:right="3820"/>
        <w:spacing w:after="0" w:line="377" w:lineRule="auto"/>
        <w:rPr>
          <w:sz w:val="20"/>
          <w:szCs w:val="20"/>
          <w:color w:val="auto"/>
        </w:rPr>
      </w:pPr>
      <w:r>
        <w:rPr>
          <w:rFonts w:ascii="Times New Roman" w:cs="Times New Roman" w:eastAsia="Times New Roman" w:hAnsi="Times New Roman"/>
          <w:sz w:val="18"/>
          <w:szCs w:val="18"/>
          <w:b w:val="1"/>
          <w:bCs w:val="1"/>
          <w:color w:val="auto"/>
        </w:rPr>
        <w:t xml:space="preserve">Item 2. Management’s Discussion and Analysis of Financial Condition and Results of Operations </w:t>
      </w:r>
      <w:r>
        <w:rPr>
          <w:rFonts w:ascii="Times New Roman" w:cs="Times New Roman" w:eastAsia="Times New Roman" w:hAnsi="Times New Roman"/>
          <w:sz w:val="18"/>
          <w:szCs w:val="18"/>
          <w:i w:val="1"/>
          <w:iCs w:val="1"/>
          <w:color w:val="auto"/>
        </w:rPr>
        <w:t>Introduction</w:t>
      </w:r>
    </w:p>
    <w:p>
      <w:pPr>
        <w:spacing w:after="0" w:line="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NOV Inc. (“NOV” or the “Company”) is a leading independent equipment and technology provider to the global energy industry. Originally founded in 1862, NOV and its predecessor companies have spent 162 years helping transform oil and gas field development and improving its cost-effectiveness, efficiency, safety, and environmental impact. Over the past few decades, the Company has pioneered and refined key technologies to improve the economic viability of frontier resources, including unconventional and deepwater oil and gas. More recently, by applying its deep expertise and technology, the company has helped advance the transition toward sustainable energy.</w:t>
      </w:r>
    </w:p>
    <w:p>
      <w:pPr>
        <w:spacing w:after="0" w:line="7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NOV’s extensive proprietary technology portfolio supports the industry’s full-field drilling, completion, and production needs. With unmatched cross-segment capabilities, scope, and scale, NOV continues to develop and introduce technologies that further enhance the economics and efficiencies of energy production, with a focus on automation, predictive analytics, and condition-based maintenance.</w:t>
      </w:r>
    </w:p>
    <w:p>
      <w:pPr>
        <w:spacing w:after="0" w:line="6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NOV serves major-diversified, national, and independent service companies, contractors, and energy producers in 61 countries. Effective January 1, 2024, NOV consolidated its reporting structure into two segments: Energy Products and Services, and Energy Equipment. Segment disclosures pertaining to prior periods have been restated to reflect the change in reportable segments.</w:t>
      </w:r>
    </w:p>
    <w:p>
      <w:pPr>
        <w:spacing w:after="0" w:line="6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Results of operations are presented in accordance with accounting principles generally accepted in the United States (“GAAP”). Certain reclassifications have been made to prior period financial information in order to conform with current period presentation. The Company discloses Adjusted EBITDA (defined as operating profit excluding depreciation, amortization, gains and losses on sales of fixed assets and, when applicable, Other Items) in its periodic earnings press releases and other public disclosures to provide investors additional information about the results of ongoing operations. See Non-GAAP Financial Measures and Reconciliations in Results of Operations for an explanation of our use of non-GAAP financial measures and reconciliations to their corresponding measures calculated in accordance with GAAP.</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Energy Products and Services</w:t>
      </w:r>
    </w:p>
    <w:p>
      <w:pPr>
        <w:spacing w:after="0" w:line="119"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The Company’s Energy Products and Services segment provides a variety of technologies used primarily to perform drilling and well completion operations and offers services that optimize their performance.</w:t>
      </w:r>
    </w:p>
    <w:p>
      <w:pPr>
        <w:spacing w:after="0" w:line="55"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Energy Products and Services designs, manufactures, rents, and sells equipment and products for drilling, intervention, completion, and production activities, including: drill bits, downhole tools, premium drill pipe, drilling fluids, managed pressure drilling, integral and weld-on connectors for conductor strings and surface casing, completion tools, and artificial lift systems.</w:t>
      </w:r>
    </w:p>
    <w:p>
      <w:pPr>
        <w:spacing w:after="0" w:line="6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segment delivers services, software, and digital solutions to improve drilling and completion operational performance. Services include tubular inspection and coating services, solids control and waste management equipment and services, and managed pressure drilling solutions. Software and digital services and solutions offer drilling and completion optimization and remote monitoring capabilities via downhole and surface instrumentation, wired drill pipe services, software controls and applications, and data management and analytics services at the edge and in the cloud.</w:t>
      </w:r>
    </w:p>
    <w:p>
      <w:pPr>
        <w:spacing w:after="0" w:line="7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The segment also designs, manufactures, and delivers high-end composite pipe, tanks, and structures engineered to solve both corrosion and weight challenges in a wide variety of applications, including oil and gas, chemical, industrial, wastewater, fuel handling, marine and offshore, and rare earth mineral extraction .</w:t>
      </w:r>
    </w:p>
    <w:p>
      <w:pPr>
        <w:spacing w:after="0" w:line="6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Energy Products and Services serves oil and gas companies drilling contractors, oilfield service companies, oilfield equipment rental companies and developers of geothermal energy. Demand for the segment’s products and services primarily depends on the level of oilfield drilling activity by oil and gas companies, drilling contractors, and oilfield service companies. Demand for the segment’s composite solutions serving applications outside of oil and gas are driven by industrial activity, infrastructure spend, and population growth.</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Energy Equipment</w:t>
      </w:r>
    </w:p>
    <w:p>
      <w:pPr>
        <w:spacing w:after="0" w:line="119"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The Company’s Energy Equipment segment manufactures and supports the capital equipment and integrated systems needed for oil and gas exploration and production, both onshore and offshore, as well as for other marine-based, industrial and renewable energy markets.</w:t>
      </w:r>
    </w:p>
    <w:p>
      <w:pPr>
        <w:spacing w:after="0" w:line="5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segment designs, manufactures, and integrates technologies for drilling and producing oil and gas wells. This includes equipment and technologies needed for drilling, including land rigs, offshore drilling equipment packages, drilling rig components, and software control systems that mechanize and automate the drilling process and rig functionality; hydraulic fracture stimulation, including pressure pumping trucks, blenders, sanders, hydration units, injection units, flowline, and manifolds; well intervention, including coiled tubing units, coiled tubing, and wireline units and tools; cementing products for pumping, mixing, transport, and storage; onshore production, including fluid processing, and surface transfer as well as progressive cavity pumps; offshore production, including integrated production systems and subsea production technologies; and aftermarket support of these technologies, providing spare parts, service, and repair.</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4" w:right="339" w:bottom="1440" w:gutter="0" w:footer="0" w:header="0"/>
        </w:sectPr>
      </w:pPr>
    </w:p>
    <w:bookmarkStart w:id="20" w:name="page21"/>
    <w:bookmarkEnd w:id="20"/>
    <w:p>
      <w:pPr>
        <w:jc w:val="both"/>
        <w:spacing w:after="0" w:line="260" w:lineRule="auto"/>
        <w:rPr>
          <w:sz w:val="20"/>
          <w:szCs w:val="20"/>
          <w:color w:val="auto"/>
        </w:rPr>
      </w:pPr>
      <w:r>
        <w:rPr>
          <w:rFonts w:ascii="Times New Roman" w:cs="Times New Roman" w:eastAsia="Times New Roman" w:hAnsi="Times New Roman"/>
          <w:sz w:val="18"/>
          <w:szCs w:val="18"/>
          <w:color w:val="auto"/>
        </w:rPr>
        <w:t>Energy Equipment primarily serves contract drillers, oilfield service companies, and oil and gas companies. Demand for the segment’s products primarily depends on capital spending plans by drilling contractors, service companies, and oil and gas companies; and secondarily on the overall level of oilfield drilling, completions, and workover activity which drives demand for equipment, spare parts, service, and repair for the segment’s large installed base of equipment.</w:t>
      </w:r>
    </w:p>
    <w:p>
      <w:pPr>
        <w:spacing w:after="0" w:line="7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segment also serves marine and offshore markets, where it designs and builds equipment for wind turbine installation and cable lay vessels, and offers heavy lift cranes and jacking systems; industrial markets, where the segment provides pumps and mixers for a wide breadth of industrial end markets; and other energy transition markets, where it is applying its gas processing expertise to provide solutions that aid in wind power development, hydrogen production and carbon sequestration.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our annual report on Form 10-K for the year ended December 31, 2023, we identified our most critical accounting policies. In preparing the financial statements, we make assumptions, estimates and judgments that affect the amounts reported. We periodically evaluate our estimates and judgments that are most critical in nature which are related to revenue recognition under long-term construction contracts, impairment of goodwill and other indefinite-lived intangible assets, and income taxes. Our estimates are based on historical experience and on our future expectations that we believe are reasonable. The combination of these factors forms the basis for making judgments about the carrying values of assets and liabilities that are not readily apparent from other sources. Actual results are likely to differ from our current estimates and those differences may be material.</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SUMMARY</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the second quarter ended June 30, 2024, the Company generated revenues of $2.22 billion, an increase of 6 percent compared to the second quarter of 2023. Net income was $226 million, or 10.2 percent of sales, an increase of $71 million compared to the second quarter of 2023. Operating profit increased $132 million from the prior year to $313 million, or 14.1 percent of sales. The company recorded a net credit of $118 million within Other Items, primarily related to gains from the divestiture of its Pole Products business. Adjusted EBITDA (operating profit excluding depreciation, amortization, gains and losses on sales of fixed assets and, when applicable, Other Items) increased 15 percent year-over-year to $281 million, or 12.7 percent of sales.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Performance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Energy Products and Services</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Energy Products and Services generated revenues of $1,050 million in the second quarter of 2024, an increase of 2 percent from the second quarter of 2023. Operating profit decreased $28 million from the prior year to $128 million, or 12.2 percent of sales, and included $1 million in Other Items. Adjusted EBITDA decreased $14 million from the prior year to $184 million, or 17.5 percent of sales. Revenue improved from strong demand in international and offshore markets, which more than offset declining North American activity. A less favorable sales mix led to the lower level of profitability compared to the prior year.</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Energy Equipment</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Energy Equipment generated revenues of $1,204 million in the second quarter of 2024, an increase of 8 percent from the second quarter of 2023. Operating profit increased $151 million from the prior year to $232 million, or 19.3 percent of sales, and included a $119 million net credit of Other Items. Adjusted EBITDA increased $43 million from the prior year to $142 million, or 11.8 percent of sales. Higher revenue and profitability, excluding the gain from the divestiture of its Pole Products business, were the result of improved demand for aftermarket products and services, strong execution on the segment's improving capital equipment backlog, and cost savings initiatives.</w:t>
      </w:r>
    </w:p>
    <w:p>
      <w:pPr>
        <w:spacing w:after="0" w:line="7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New orders booked during the quarter totaled $977 million, an increase of $466 million when compared to the $511 million of new orders booked during the second quarter of 2023. Orders shipped from backlog in the second quarter of 2024 was $553 million, representing a book-to-bill of 177 percent, compared to the $505 million orders shipped and a book-to-bill of 101 percent in the second quarter of 2023. As of June 30, 2024, backlog for capital equipment orders for Energy Equipment was $4,331 million, an increase of $472 million from the second quarter of 2023.</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Oil &amp; Gas Equipment and Services Market and Outlook</w:t>
      </w:r>
    </w:p>
    <w:p>
      <w:pPr>
        <w:spacing w:after="0" w:line="121" w:lineRule="exact"/>
        <w:rPr>
          <w:sz w:val="20"/>
          <w:szCs w:val="20"/>
          <w:color w:val="auto"/>
        </w:rPr>
      </w:pPr>
    </w:p>
    <w:p>
      <w:pPr>
        <w:jc w:val="both"/>
        <w:ind w:right="100"/>
        <w:spacing w:after="0" w:line="260" w:lineRule="auto"/>
        <w:rPr>
          <w:sz w:val="20"/>
          <w:szCs w:val="20"/>
          <w:color w:val="auto"/>
        </w:rPr>
      </w:pPr>
      <w:r>
        <w:rPr>
          <w:rFonts w:ascii="Times New Roman" w:cs="Times New Roman" w:eastAsia="Times New Roman" w:hAnsi="Times New Roman"/>
          <w:sz w:val="18"/>
          <w:szCs w:val="18"/>
          <w:color w:val="auto"/>
        </w:rPr>
        <w:t>Despite the recent declines in U.S. drilling activity resulting from lower natural gas prices and consolidation among North American oil and gas producers, management believes the industry remains in the early stages of an extended recovery. Macro environment and geopolitical uncertainties drive volatility and pressure commodity prices near-term; however, management believes diminished global oil and gas production capacity and rising energy security risks will continue to spur increased oilfield activity and demand for the Company’s equipment and technology.</w:t>
      </w:r>
    </w:p>
    <w:p>
      <w:pPr>
        <w:spacing w:after="0" w:line="74" w:lineRule="exact"/>
        <w:rPr>
          <w:sz w:val="20"/>
          <w:szCs w:val="20"/>
          <w:color w:val="auto"/>
        </w:rPr>
      </w:pPr>
    </w:p>
    <w:p>
      <w:pPr>
        <w:jc w:val="both"/>
        <w:ind w:right="100"/>
        <w:spacing w:after="0" w:line="260" w:lineRule="auto"/>
        <w:rPr>
          <w:sz w:val="20"/>
          <w:szCs w:val="20"/>
          <w:color w:val="auto"/>
        </w:rPr>
      </w:pPr>
      <w:r>
        <w:rPr>
          <w:rFonts w:ascii="Times New Roman" w:cs="Times New Roman" w:eastAsia="Times New Roman" w:hAnsi="Times New Roman"/>
          <w:sz w:val="18"/>
          <w:szCs w:val="18"/>
          <w:color w:val="auto"/>
        </w:rPr>
        <w:t>NOV remains committed to improving organizational efficiencies while focusing on the development and commercialization of innovative products and services, including technologies to reduce the environmental impact of oil and gas operations and technologies to accelerate the energy transition that are responsive to the longer-term needs of NOV’s customers. We believe this strategy will further advance the Company’s competitive position in all market conditions.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Environment Overview</w:t>
      </w:r>
    </w:p>
    <w:p>
      <w:pPr>
        <w:spacing w:after="0" w:line="121" w:lineRule="exact"/>
        <w:rPr>
          <w:sz w:val="20"/>
          <w:szCs w:val="20"/>
          <w:color w:val="auto"/>
        </w:rPr>
      </w:pPr>
    </w:p>
    <w:p>
      <w:pPr>
        <w:jc w:val="both"/>
        <w:ind w:right="100"/>
        <w:spacing w:after="0" w:line="255" w:lineRule="auto"/>
        <w:rPr>
          <w:sz w:val="20"/>
          <w:szCs w:val="20"/>
          <w:color w:val="auto"/>
        </w:rPr>
      </w:pPr>
      <w:r>
        <w:rPr>
          <w:rFonts w:ascii="Times New Roman" w:cs="Times New Roman" w:eastAsia="Times New Roman" w:hAnsi="Times New Roman"/>
          <w:sz w:val="18"/>
          <w:szCs w:val="18"/>
          <w:color w:val="auto"/>
        </w:rPr>
        <w:t>The Company’s results are dependent on, among other things, the level of worldwide oil and gas drilling, well remediation activity, the prices of crude oil and natural gas, capital spending by exploration and production companies and drilling contractors, worldwide oil and gas inventory levels and, to a lesser degree, the level of investment in wind and geothermal energy products. Key industry indicators for the second quarter of 2024 and 2023, and the first quarter of 2024 include the following:</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80" w:type="dxa"/>
            <w:vAlign w:val="bottom"/>
            <w:gridSpan w:val="6"/>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 increase (decrease)</w:t>
            </w:r>
          </w:p>
        </w:tc>
        <w:tc>
          <w:tcPr>
            <w:tcW w:w="0" w:type="dxa"/>
            <w:vAlign w:val="bottom"/>
          </w:tcPr>
          <w:p>
            <w:pPr>
              <w:spacing w:after="0"/>
              <w:rPr>
                <w:sz w:val="1"/>
                <w:szCs w:val="1"/>
                <w:color w:val="auto"/>
              </w:rPr>
            </w:pPr>
          </w:p>
        </w:tc>
      </w:tr>
      <w:tr>
        <w:trPr>
          <w:trHeight w:val="158"/>
        </w:trPr>
        <w:tc>
          <w:tcPr>
            <w:tcW w:w="5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80" w:type="dxa"/>
            <w:vAlign w:val="bottom"/>
            <w:tcBorders>
              <w:top w:val="single" w:sz="8" w:color="auto"/>
            </w:tcBorders>
            <w:gridSpan w:val="3"/>
          </w:tcPr>
          <w:p>
            <w:pPr>
              <w:jc w:val="right"/>
              <w:ind w:right="660"/>
              <w:spacing w:after="0" w:line="157" w:lineRule="exact"/>
              <w:rPr>
                <w:sz w:val="20"/>
                <w:szCs w:val="20"/>
                <w:color w:val="auto"/>
              </w:rPr>
            </w:pPr>
            <w:r>
              <w:rPr>
                <w:rFonts w:ascii="Times New Roman" w:cs="Times New Roman" w:eastAsia="Times New Roman" w:hAnsi="Times New Roman"/>
                <w:sz w:val="14"/>
                <w:szCs w:val="14"/>
                <w:b w:val="1"/>
                <w:bCs w:val="1"/>
                <w:color w:val="auto"/>
              </w:rPr>
              <w:t>2Q24 v</w:t>
            </w:r>
          </w:p>
        </w:tc>
        <w:tc>
          <w:tcPr>
            <w:tcW w:w="900" w:type="dxa"/>
            <w:vAlign w:val="bottom"/>
            <w:tcBorders>
              <w:top w:val="single" w:sz="8" w:color="auto"/>
            </w:tcBorders>
          </w:tcPr>
          <w:p>
            <w:pPr>
              <w:jc w:val="right"/>
              <w:ind w:right="235"/>
              <w:spacing w:after="0" w:line="157" w:lineRule="exact"/>
              <w:rPr>
                <w:sz w:val="20"/>
                <w:szCs w:val="20"/>
                <w:color w:val="auto"/>
              </w:rPr>
            </w:pPr>
            <w:r>
              <w:rPr>
                <w:rFonts w:ascii="Times New Roman" w:cs="Times New Roman" w:eastAsia="Times New Roman" w:hAnsi="Times New Roman"/>
                <w:sz w:val="14"/>
                <w:szCs w:val="14"/>
                <w:b w:val="1"/>
                <w:bCs w:val="1"/>
                <w:color w:val="auto"/>
              </w:rPr>
              <w:t>2Q24 v</w:t>
            </w:r>
          </w:p>
        </w:tc>
        <w:tc>
          <w:tcPr>
            <w:tcW w:w="20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5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2Q24*</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2Q23*</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1Q24*</w:t>
            </w:r>
          </w:p>
        </w:tc>
        <w:tc>
          <w:tcPr>
            <w:tcW w:w="1380" w:type="dxa"/>
            <w:vAlign w:val="bottom"/>
            <w:gridSpan w:val="3"/>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2Q23</w:t>
            </w:r>
          </w:p>
        </w:tc>
        <w:tc>
          <w:tcPr>
            <w:tcW w:w="1100" w:type="dxa"/>
            <w:vAlign w:val="bottom"/>
            <w:gridSpan w:val="3"/>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1Q24</w:t>
            </w:r>
          </w:p>
        </w:tc>
        <w:tc>
          <w:tcPr>
            <w:tcW w:w="0" w:type="dxa"/>
            <w:vAlign w:val="bottom"/>
          </w:tcPr>
          <w:p>
            <w:pPr>
              <w:spacing w:after="0"/>
              <w:rPr>
                <w:sz w:val="1"/>
                <w:szCs w:val="1"/>
                <w:color w:val="auto"/>
              </w:rPr>
            </w:pPr>
          </w:p>
        </w:tc>
      </w:tr>
      <w:tr>
        <w:trPr>
          <w:trHeight w:val="236"/>
        </w:trPr>
        <w:tc>
          <w:tcPr>
            <w:tcW w:w="5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Active Drilling Rigs:</w:t>
            </w:r>
          </w:p>
        </w:tc>
        <w:tc>
          <w:tcPr>
            <w:tcW w:w="200" w:type="dxa"/>
            <w:vAlign w:val="bottom"/>
            <w:tcBorders>
              <w:top w:val="single" w:sz="8" w:color="auto"/>
            </w:tcBorders>
            <w:shd w:val="clear" w:color="auto" w:fill="CFF0FC"/>
          </w:tcPr>
          <w:p>
            <w:pPr>
              <w:spacing w:after="0"/>
              <w:rPr>
                <w:sz w:val="20"/>
                <w:szCs w:val="20"/>
                <w:color w:val="auto"/>
              </w:rPr>
            </w:pPr>
          </w:p>
        </w:tc>
        <w:tc>
          <w:tcPr>
            <w:tcW w:w="820" w:type="dxa"/>
            <w:vAlign w:val="bottom"/>
            <w:tcBorders>
              <w:top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spacing w:after="0"/>
              <w:rPr>
                <w:sz w:val="20"/>
                <w:szCs w:val="20"/>
                <w:color w:val="auto"/>
              </w:rPr>
            </w:pPr>
          </w:p>
        </w:tc>
        <w:tc>
          <w:tcPr>
            <w:tcW w:w="820" w:type="dxa"/>
            <w:vAlign w:val="bottom"/>
            <w:tcBorders>
              <w:top w:val="single" w:sz="8" w:color="auto"/>
            </w:tcBorders>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spacing w:after="0"/>
              <w:rPr>
                <w:sz w:val="20"/>
                <w:szCs w:val="20"/>
                <w:color w:val="auto"/>
              </w:rPr>
            </w:pPr>
          </w:p>
        </w:tc>
        <w:tc>
          <w:tcPr>
            <w:tcW w:w="760" w:type="dxa"/>
            <w:vAlign w:val="bottom"/>
            <w:tcBorders>
              <w:top w:val="single" w:sz="8" w:color="auto"/>
            </w:tcBorders>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00" w:type="dxa"/>
            <w:vAlign w:val="bottom"/>
            <w:tcBorders>
              <w:top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spacing w:after="0"/>
              <w:rPr>
                <w:sz w:val="20"/>
                <w:szCs w:val="20"/>
                <w:color w:val="auto"/>
              </w:rPr>
            </w:pPr>
          </w:p>
        </w:tc>
        <w:tc>
          <w:tcPr>
            <w:tcW w:w="90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5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U.S.</w:t>
            </w: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722</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623</w:t>
            </w:r>
          </w:p>
        </w:tc>
        <w:tc>
          <w:tcPr>
            <w:tcW w:w="200" w:type="dxa"/>
            <w:vAlign w:val="bottom"/>
          </w:tcPr>
          <w:p>
            <w:pPr>
              <w:spacing w:after="0"/>
              <w:rPr>
                <w:sz w:val="20"/>
                <w:szCs w:val="20"/>
                <w:color w:val="auto"/>
              </w:rPr>
            </w:pPr>
          </w:p>
        </w:tc>
        <w:tc>
          <w:tcPr>
            <w:tcW w:w="13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(16.6 %)</w:t>
            </w: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(3.4 %)</w:t>
            </w:r>
          </w:p>
        </w:tc>
        <w:tc>
          <w:tcPr>
            <w:tcW w:w="0" w:type="dxa"/>
            <w:vAlign w:val="bottom"/>
          </w:tcPr>
          <w:p>
            <w:pPr>
              <w:spacing w:after="0"/>
              <w:rPr>
                <w:sz w:val="1"/>
                <w:szCs w:val="1"/>
                <w:color w:val="auto"/>
              </w:rPr>
            </w:pPr>
          </w:p>
        </w:tc>
      </w:tr>
      <w:tr>
        <w:trPr>
          <w:trHeight w:val="238"/>
        </w:trPr>
        <w:tc>
          <w:tcPr>
            <w:tcW w:w="5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Canada</w:t>
            </w: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200" w:type="dxa"/>
            <w:vAlign w:val="bottom"/>
          </w:tcPr>
          <w:p>
            <w:pPr>
              <w:spacing w:after="0"/>
              <w:rPr>
                <w:sz w:val="20"/>
                <w:szCs w:val="20"/>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19.1 %</w:t>
            </w:r>
          </w:p>
        </w:tc>
        <w:tc>
          <w:tcPr>
            <w:tcW w:w="160" w:type="dxa"/>
            <w:vAlign w:val="bottom"/>
          </w:tcPr>
          <w:p>
            <w:pPr>
              <w:spacing w:after="0"/>
              <w:rPr>
                <w:sz w:val="20"/>
                <w:szCs w:val="20"/>
                <w:color w:val="auto"/>
              </w:rPr>
            </w:pP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(34.4 %)</w:t>
            </w:r>
          </w:p>
        </w:tc>
        <w:tc>
          <w:tcPr>
            <w:tcW w:w="0" w:type="dxa"/>
            <w:vAlign w:val="bottom"/>
          </w:tcPr>
          <w:p>
            <w:pPr>
              <w:spacing w:after="0"/>
              <w:rPr>
                <w:sz w:val="1"/>
                <w:szCs w:val="1"/>
                <w:color w:val="auto"/>
              </w:rPr>
            </w:pPr>
          </w:p>
        </w:tc>
      </w:tr>
      <w:tr>
        <w:trPr>
          <w:trHeight w:val="243"/>
        </w:trPr>
        <w:tc>
          <w:tcPr>
            <w:tcW w:w="5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International</w:t>
            </w: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956</w:t>
            </w: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960</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965</w:t>
            </w:r>
          </w:p>
        </w:tc>
        <w:tc>
          <w:tcPr>
            <w:tcW w:w="200" w:type="dxa"/>
            <w:vAlign w:val="bottom"/>
          </w:tcPr>
          <w:p>
            <w:pPr>
              <w:spacing w:after="0"/>
              <w:rPr>
                <w:sz w:val="21"/>
                <w:szCs w:val="21"/>
                <w:color w:val="auto"/>
              </w:rPr>
            </w:pPr>
          </w:p>
        </w:tc>
        <w:tc>
          <w:tcPr>
            <w:tcW w:w="13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(0.4 %)</w:t>
            </w: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(0.9 %)</w:t>
            </w:r>
          </w:p>
        </w:tc>
        <w:tc>
          <w:tcPr>
            <w:tcW w:w="0" w:type="dxa"/>
            <w:vAlign w:val="bottom"/>
          </w:tcPr>
          <w:p>
            <w:pPr>
              <w:spacing w:after="0"/>
              <w:rPr>
                <w:sz w:val="1"/>
                <w:szCs w:val="1"/>
                <w:color w:val="auto"/>
              </w:rPr>
            </w:pPr>
          </w:p>
        </w:tc>
      </w:tr>
      <w:tr>
        <w:trPr>
          <w:trHeight w:val="27"/>
        </w:trPr>
        <w:tc>
          <w:tcPr>
            <w:tcW w:w="52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Worldwide</w:t>
            </w:r>
          </w:p>
        </w:tc>
        <w:tc>
          <w:tcPr>
            <w:tcW w:w="2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4"/>
        </w:trPr>
        <w:tc>
          <w:tcPr>
            <w:tcW w:w="522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1,695</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1,797</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1,797</w:t>
            </w:r>
          </w:p>
        </w:tc>
        <w:tc>
          <w:tcPr>
            <w:tcW w:w="200" w:type="dxa"/>
            <w:vAlign w:val="bottom"/>
          </w:tcPr>
          <w:p>
            <w:pPr>
              <w:spacing w:after="0"/>
              <w:rPr>
                <w:sz w:val="20"/>
                <w:szCs w:val="20"/>
                <w:color w:val="auto"/>
              </w:rPr>
            </w:pPr>
          </w:p>
        </w:tc>
        <w:tc>
          <w:tcPr>
            <w:tcW w:w="13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(5.7 %)</w:t>
            </w: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(5.7 %)</w:t>
            </w:r>
          </w:p>
        </w:tc>
        <w:tc>
          <w:tcPr>
            <w:tcW w:w="0" w:type="dxa"/>
            <w:vAlign w:val="bottom"/>
          </w:tcPr>
          <w:p>
            <w:pPr>
              <w:spacing w:after="0"/>
              <w:rPr>
                <w:sz w:val="1"/>
                <w:szCs w:val="1"/>
                <w:color w:val="auto"/>
              </w:rPr>
            </w:pPr>
          </w:p>
        </w:tc>
      </w:tr>
      <w:tr>
        <w:trPr>
          <w:trHeight w:val="458"/>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West Texas Intermediate</w:t>
            </w: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522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Crude Prices (per barrel)</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81.71</w:t>
            </w: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73.76</w:t>
            </w: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77.56</w:t>
            </w:r>
          </w:p>
        </w:tc>
        <w:tc>
          <w:tcPr>
            <w:tcW w:w="200" w:type="dxa"/>
            <w:vAlign w:val="bottom"/>
          </w:tcPr>
          <w:p>
            <w:pPr>
              <w:spacing w:after="0"/>
              <w:rPr>
                <w:sz w:val="20"/>
                <w:szCs w:val="20"/>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10.8 %</w:t>
            </w:r>
          </w:p>
        </w:tc>
        <w:tc>
          <w:tcPr>
            <w:tcW w:w="160" w:type="dxa"/>
            <w:vAlign w:val="bottom"/>
          </w:tcPr>
          <w:p>
            <w:pPr>
              <w:spacing w:after="0"/>
              <w:rPr>
                <w:sz w:val="20"/>
                <w:szCs w:val="20"/>
                <w:color w:val="auto"/>
              </w:rPr>
            </w:pPr>
          </w:p>
        </w:tc>
        <w:tc>
          <w:tcPr>
            <w:tcW w:w="11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5.4 %</w:t>
            </w:r>
          </w:p>
        </w:tc>
        <w:tc>
          <w:tcPr>
            <w:tcW w:w="0" w:type="dxa"/>
            <w:vAlign w:val="bottom"/>
          </w:tcPr>
          <w:p>
            <w:pPr>
              <w:spacing w:after="0"/>
              <w:rPr>
                <w:sz w:val="1"/>
                <w:szCs w:val="1"/>
                <w:color w:val="auto"/>
              </w:rPr>
            </w:pPr>
          </w:p>
        </w:tc>
      </w:tr>
      <w:tr>
        <w:trPr>
          <w:trHeight w:val="485"/>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Natural Gas Prices ($/mmbtu)</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200" w:type="dxa"/>
            <w:vAlign w:val="bottom"/>
          </w:tcPr>
          <w:p>
            <w:pPr>
              <w:spacing w:after="0"/>
              <w:rPr>
                <w:sz w:val="24"/>
                <w:szCs w:val="24"/>
                <w:color w:val="auto"/>
              </w:rPr>
            </w:pPr>
          </w:p>
        </w:tc>
        <w:tc>
          <w:tcPr>
            <w:tcW w:w="13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(3.7 %)</w:t>
            </w: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0" w:type="dxa"/>
            <w:vAlign w:val="bottom"/>
          </w:tcPr>
          <w:p>
            <w:pPr>
              <w:spacing w:after="0"/>
              <w:rPr>
                <w:sz w:val="1"/>
                <w:szCs w:val="1"/>
                <w:color w:val="auto"/>
              </w:rPr>
            </w:pPr>
          </w:p>
        </w:tc>
      </w:tr>
      <w:tr>
        <w:trPr>
          <w:trHeight w:val="337"/>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 Averages for the quarters indicated. See sources below.</w:t>
            </w: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-1429385</wp:posOffset>
            </wp:positionV>
            <wp:extent cx="7132320" cy="15430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-1112520</wp:posOffset>
            </wp:positionV>
            <wp:extent cx="7132320" cy="15430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-804545</wp:posOffset>
            </wp:positionV>
            <wp:extent cx="7132320" cy="29083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32320" cy="2908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-358775</wp:posOffset>
            </wp:positionV>
            <wp:extent cx="7132320" cy="15430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4"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18"/>
          <w:szCs w:val="18"/>
          <w:color w:val="auto"/>
        </w:rPr>
        <w:t>The Company is also becoming increasingly engaged with energy transition related opportunities and is currently involved in projects related to wind energy, geothermal power, rare earth metal extraction, biogas production, and carbon sequestration. Additionally, the Company is investing in developing technologies and solutions that will support other energy transition related industry verticals. Management expects to see continued growth in these areas as low carbon power becomes a larger portion of the global energy supply.</w:t>
      </w:r>
    </w:p>
    <w:p>
      <w:pPr>
        <w:spacing w:after="0" w:line="18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886" w:right="2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color w:val="auto"/>
        </w:rPr>
        <w:t>The following table details the U.S., Canadian, and international rig activity and West Texas Intermediate Crude Oil prices for the past nine quarters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30, 2024, on a quarterly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946785</wp:posOffset>
            </wp:positionH>
            <wp:positionV relativeFrom="paragraph">
              <wp:posOffset>74295</wp:posOffset>
            </wp:positionV>
            <wp:extent cx="5214620" cy="355346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5214620" cy="3553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Source: Rig count: Baker Hughes, Inc. (www.bakerhughes.com); West Texas Intermediate Crude Oil and Natural Gas Prices: US Department of Energy, Energy Information Administration (www.eia.doe.gov).</w:t>
      </w:r>
    </w:p>
    <w:p>
      <w:pPr>
        <w:spacing w:after="0" w:line="16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worldwide quarterly average rig count decreased 6 percent (from 1,797 to 1,695) in the second quarter of 2024 compared to the first quarter of 2024, mainly attributable to Canada. The average per barrel price of West Texas Intermediate Crude Oil increased 5 percent (from $77.56 per barrel to $81.71 per barrel) and natural gas prices decreased 2 percent (from $2.13 per mmbtu to $2.08 per mmbtu) in the second quarter of 2024 compared to the first quarter of 2024.</w:t>
      </w:r>
    </w:p>
    <w:p>
      <w:pPr>
        <w:spacing w:after="0" w:line="7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At July 12, 2024, there were 773 rigs actively drilling in North America, comprised of U.S. and Canada, which increased 5 percent from the second quarter average of 739 rigs. The price for West Texas Intermediate Crude Oil was $82.21 per barrel at July 12, 2024, an increase of 1 percent from the second quarter of 2024 average. The price for natural gas was $2.33 per mmbtu at July 12, 2024, an increase of 12 percent from the second quarter of 2024 average.</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results by operating segment are as follows (in millions):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5840" w:type="dxa"/>
            <w:vAlign w:val="bottom"/>
          </w:tcPr>
          <w:p>
            <w:pPr>
              <w:spacing w:after="0"/>
              <w:rPr>
                <w:sz w:val="14"/>
                <w:szCs w:val="14"/>
                <w:color w:val="auto"/>
              </w:rPr>
            </w:pPr>
          </w:p>
        </w:tc>
        <w:tc>
          <w:tcPr>
            <w:tcW w:w="2140" w:type="dxa"/>
            <w:vAlign w:val="bottom"/>
            <w:gridSpan w:val="4"/>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340" w:type="dxa"/>
            <w:vAlign w:val="bottom"/>
            <w:gridSpan w:val="5"/>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87"/>
        </w:trPr>
        <w:tc>
          <w:tcPr>
            <w:tcW w:w="584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2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5840" w:type="dxa"/>
            <w:vAlign w:val="bottom"/>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2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236"/>
        </w:trPr>
        <w:tc>
          <w:tcPr>
            <w:tcW w:w="5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74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8"/>
        </w:trPr>
        <w:tc>
          <w:tcPr>
            <w:tcW w:w="5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Energy Products and Services</w:t>
            </w:r>
          </w:p>
        </w:tc>
        <w:tc>
          <w:tcPr>
            <w:tcW w:w="740" w:type="dxa"/>
            <w:vAlign w:val="bottom"/>
          </w:tcPr>
          <w:p>
            <w:pPr>
              <w:jc w:val="right"/>
              <w:ind w:right="556"/>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1,050</w:t>
            </w:r>
          </w:p>
        </w:tc>
        <w:tc>
          <w:tcPr>
            <w:tcW w:w="260" w:type="dxa"/>
            <w:vAlign w:val="bottom"/>
          </w:tcPr>
          <w:p>
            <w:pPr>
              <w:spacing w:after="0"/>
              <w:rPr>
                <w:sz w:val="20"/>
                <w:szCs w:val="20"/>
                <w:color w:val="auto"/>
              </w:rPr>
            </w:pPr>
          </w:p>
        </w:tc>
        <w:tc>
          <w:tcPr>
            <w:tcW w:w="720" w:type="dxa"/>
            <w:vAlign w:val="bottom"/>
          </w:tcPr>
          <w:p>
            <w:pPr>
              <w:jc w:val="right"/>
              <w:ind w:right="534"/>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1,029</w:t>
            </w:r>
          </w:p>
        </w:tc>
        <w:tc>
          <w:tcPr>
            <w:tcW w:w="24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2,067</w:t>
            </w:r>
          </w:p>
        </w:tc>
        <w:tc>
          <w:tcPr>
            <w:tcW w:w="22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1,970</w:t>
            </w:r>
          </w:p>
        </w:tc>
        <w:tc>
          <w:tcPr>
            <w:tcW w:w="100" w:type="dxa"/>
            <w:vAlign w:val="bottom"/>
          </w:tcPr>
          <w:p>
            <w:pPr>
              <w:spacing w:after="0"/>
              <w:rPr>
                <w:sz w:val="20"/>
                <w:szCs w:val="20"/>
                <w:color w:val="auto"/>
              </w:rPr>
            </w:pPr>
          </w:p>
        </w:tc>
      </w:tr>
      <w:tr>
        <w:trPr>
          <w:trHeight w:val="247"/>
        </w:trPr>
        <w:tc>
          <w:tcPr>
            <w:tcW w:w="58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Energy Equipment</w:t>
            </w:r>
          </w:p>
        </w:tc>
        <w:tc>
          <w:tcPr>
            <w:tcW w:w="740" w:type="dxa"/>
            <w:vAlign w:val="bottom"/>
            <w:shd w:val="clear" w:color="auto" w:fill="CFF0FC"/>
          </w:tcPr>
          <w:p>
            <w:pPr>
              <w:spacing w:after="0"/>
              <w:rPr>
                <w:sz w:val="21"/>
                <w:szCs w:val="21"/>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1,204</w:t>
            </w:r>
          </w:p>
        </w:tc>
        <w:tc>
          <w:tcPr>
            <w:tcW w:w="260" w:type="dxa"/>
            <w:vAlign w:val="bottom"/>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1,117</w:t>
            </w: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2,382</w:t>
            </w:r>
          </w:p>
        </w:tc>
        <w:tc>
          <w:tcPr>
            <w:tcW w:w="2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2,169</w:t>
            </w:r>
          </w:p>
        </w:tc>
        <w:tc>
          <w:tcPr>
            <w:tcW w:w="100" w:type="dxa"/>
            <w:vAlign w:val="bottom"/>
            <w:shd w:val="clear" w:color="auto" w:fill="CFF0FC"/>
          </w:tcPr>
          <w:p>
            <w:pPr>
              <w:spacing w:after="0"/>
              <w:rPr>
                <w:sz w:val="21"/>
                <w:szCs w:val="21"/>
                <w:color w:val="auto"/>
              </w:rPr>
            </w:pPr>
          </w:p>
        </w:tc>
      </w:tr>
      <w:tr>
        <w:trPr>
          <w:trHeight w:val="238"/>
        </w:trPr>
        <w:tc>
          <w:tcPr>
            <w:tcW w:w="5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Eliminations</w:t>
            </w:r>
          </w:p>
        </w:tc>
        <w:tc>
          <w:tcPr>
            <w:tcW w:w="740" w:type="dxa"/>
            <w:vAlign w:val="bottom"/>
          </w:tcPr>
          <w:p>
            <w:pPr>
              <w:spacing w:after="0"/>
              <w:rPr>
                <w:sz w:val="20"/>
                <w:szCs w:val="20"/>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(38 )</w:t>
            </w:r>
          </w:p>
        </w:tc>
        <w:tc>
          <w:tcPr>
            <w:tcW w:w="720" w:type="dxa"/>
            <w:vAlign w:val="bottom"/>
          </w:tcPr>
          <w:p>
            <w:pPr>
              <w:spacing w:after="0"/>
              <w:rPr>
                <w:sz w:val="20"/>
                <w:szCs w:val="20"/>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(53 )</w:t>
            </w:r>
          </w:p>
        </w:tc>
        <w:tc>
          <w:tcPr>
            <w:tcW w:w="26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(78 )</w:t>
            </w:r>
          </w:p>
        </w:tc>
        <w:tc>
          <w:tcPr>
            <w:tcW w:w="280" w:type="dxa"/>
            <w:vAlign w:val="bottom"/>
          </w:tcPr>
          <w:p>
            <w:pPr>
              <w:spacing w:after="0"/>
              <w:rPr>
                <w:sz w:val="20"/>
                <w:szCs w:val="20"/>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(84 )</w:t>
            </w:r>
          </w:p>
        </w:tc>
      </w:tr>
      <w:tr>
        <w:trPr>
          <w:trHeight w:val="276"/>
        </w:trPr>
        <w:tc>
          <w:tcPr>
            <w:tcW w:w="58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740" w:type="dxa"/>
            <w:vAlign w:val="bottom"/>
            <w:tcBorders>
              <w:top w:val="single" w:sz="8" w:color="auto"/>
              <w:bottom w:val="single" w:sz="8" w:color="auto"/>
            </w:tcBorders>
            <w:shd w:val="clear" w:color="auto" w:fill="CFF0FC"/>
          </w:tcPr>
          <w:p>
            <w:pPr>
              <w:jc w:val="right"/>
              <w:ind w:right="556"/>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2,216</w:t>
            </w:r>
          </w:p>
        </w:tc>
        <w:tc>
          <w:tcPr>
            <w:tcW w:w="260" w:type="dxa"/>
            <w:vAlign w:val="bottom"/>
            <w:tcBorders>
              <w:bottom w:val="single" w:sz="8" w:color="CFF0FC"/>
            </w:tcBorders>
            <w:shd w:val="clear" w:color="auto" w:fill="CFF0FC"/>
          </w:tcPr>
          <w:p>
            <w:pPr>
              <w:spacing w:after="0"/>
              <w:rPr>
                <w:sz w:val="24"/>
                <w:szCs w:val="24"/>
                <w:color w:val="auto"/>
              </w:rPr>
            </w:pPr>
          </w:p>
        </w:tc>
        <w:tc>
          <w:tcPr>
            <w:tcW w:w="720" w:type="dxa"/>
            <w:vAlign w:val="bottom"/>
            <w:tcBorders>
              <w:top w:val="single" w:sz="8" w:color="auto"/>
              <w:bottom w:val="single" w:sz="8" w:color="auto"/>
            </w:tcBorders>
            <w:shd w:val="clear" w:color="auto" w:fill="CFF0FC"/>
          </w:tcPr>
          <w:p>
            <w:pPr>
              <w:jc w:val="right"/>
              <w:ind w:right="534"/>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2,093</w:t>
            </w:r>
          </w:p>
        </w:tc>
        <w:tc>
          <w:tcPr>
            <w:tcW w:w="24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4,371</w:t>
            </w:r>
          </w:p>
        </w:tc>
        <w:tc>
          <w:tcPr>
            <w:tcW w:w="22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4,055</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7"/>
        </w:trPr>
        <w:tc>
          <w:tcPr>
            <w:tcW w:w="58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3"/>
        </w:trPr>
        <w:tc>
          <w:tcPr>
            <w:tcW w:w="5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profit:</w:t>
            </w:r>
          </w:p>
        </w:tc>
        <w:tc>
          <w:tcPr>
            <w:tcW w:w="74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5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Energy Products and Services</w:t>
            </w:r>
          </w:p>
        </w:tc>
        <w:tc>
          <w:tcPr>
            <w:tcW w:w="740" w:type="dxa"/>
            <w:vAlign w:val="bottom"/>
          </w:tcPr>
          <w:p>
            <w:pPr>
              <w:jc w:val="right"/>
              <w:ind w:right="556"/>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260" w:type="dxa"/>
            <w:vAlign w:val="bottom"/>
          </w:tcPr>
          <w:p>
            <w:pPr>
              <w:spacing w:after="0"/>
              <w:rPr>
                <w:sz w:val="20"/>
                <w:szCs w:val="20"/>
                <w:color w:val="auto"/>
              </w:rPr>
            </w:pPr>
          </w:p>
        </w:tc>
        <w:tc>
          <w:tcPr>
            <w:tcW w:w="720" w:type="dxa"/>
            <w:vAlign w:val="bottom"/>
          </w:tcPr>
          <w:p>
            <w:pPr>
              <w:jc w:val="right"/>
              <w:ind w:right="534"/>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24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22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100" w:type="dxa"/>
            <w:vAlign w:val="bottom"/>
          </w:tcPr>
          <w:p>
            <w:pPr>
              <w:spacing w:after="0"/>
              <w:rPr>
                <w:sz w:val="20"/>
                <w:szCs w:val="20"/>
                <w:color w:val="auto"/>
              </w:rPr>
            </w:pPr>
          </w:p>
        </w:tc>
      </w:tr>
      <w:tr>
        <w:trPr>
          <w:trHeight w:val="247"/>
        </w:trPr>
        <w:tc>
          <w:tcPr>
            <w:tcW w:w="58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Energy Equipment</w:t>
            </w:r>
          </w:p>
        </w:tc>
        <w:tc>
          <w:tcPr>
            <w:tcW w:w="740" w:type="dxa"/>
            <w:vAlign w:val="bottom"/>
            <w:shd w:val="clear" w:color="auto" w:fill="CFF0FC"/>
          </w:tcPr>
          <w:p>
            <w:pPr>
              <w:spacing w:after="0"/>
              <w:rPr>
                <w:sz w:val="21"/>
                <w:szCs w:val="21"/>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260" w:type="dxa"/>
            <w:vAlign w:val="bottom"/>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2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00" w:type="dxa"/>
            <w:vAlign w:val="bottom"/>
            <w:shd w:val="clear" w:color="auto" w:fill="CFF0FC"/>
          </w:tcPr>
          <w:p>
            <w:pPr>
              <w:spacing w:after="0"/>
              <w:rPr>
                <w:sz w:val="21"/>
                <w:szCs w:val="21"/>
                <w:color w:val="auto"/>
              </w:rPr>
            </w:pPr>
          </w:p>
        </w:tc>
      </w:tr>
      <w:tr>
        <w:trPr>
          <w:trHeight w:val="238"/>
        </w:trPr>
        <w:tc>
          <w:tcPr>
            <w:tcW w:w="5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Eliminations and corporate costs</w:t>
            </w:r>
          </w:p>
        </w:tc>
        <w:tc>
          <w:tcPr>
            <w:tcW w:w="740" w:type="dxa"/>
            <w:vAlign w:val="bottom"/>
          </w:tcPr>
          <w:p>
            <w:pPr>
              <w:spacing w:after="0"/>
              <w:rPr>
                <w:sz w:val="20"/>
                <w:szCs w:val="20"/>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(47 )</w:t>
            </w:r>
          </w:p>
        </w:tc>
        <w:tc>
          <w:tcPr>
            <w:tcW w:w="720" w:type="dxa"/>
            <w:vAlign w:val="bottom"/>
          </w:tcPr>
          <w:p>
            <w:pPr>
              <w:spacing w:after="0"/>
              <w:rPr>
                <w:sz w:val="20"/>
                <w:szCs w:val="20"/>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(56 )</w:t>
            </w:r>
          </w:p>
        </w:tc>
        <w:tc>
          <w:tcPr>
            <w:tcW w:w="26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(101 )</w:t>
            </w:r>
          </w:p>
        </w:tc>
        <w:tc>
          <w:tcPr>
            <w:tcW w:w="280" w:type="dxa"/>
            <w:vAlign w:val="bottom"/>
          </w:tcPr>
          <w:p>
            <w:pPr>
              <w:spacing w:after="0"/>
              <w:rPr>
                <w:sz w:val="20"/>
                <w:szCs w:val="20"/>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(113 )</w:t>
            </w:r>
          </w:p>
        </w:tc>
      </w:tr>
      <w:tr>
        <w:trPr>
          <w:trHeight w:val="276"/>
        </w:trPr>
        <w:tc>
          <w:tcPr>
            <w:tcW w:w="58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operating profit</w:t>
            </w:r>
          </w:p>
        </w:tc>
        <w:tc>
          <w:tcPr>
            <w:tcW w:w="740" w:type="dxa"/>
            <w:vAlign w:val="bottom"/>
            <w:tcBorders>
              <w:top w:val="single" w:sz="8" w:color="auto"/>
              <w:bottom w:val="single" w:sz="8" w:color="auto"/>
            </w:tcBorders>
            <w:shd w:val="clear" w:color="auto" w:fill="CFF0FC"/>
          </w:tcPr>
          <w:p>
            <w:pPr>
              <w:jc w:val="right"/>
              <w:ind w:right="556"/>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260" w:type="dxa"/>
            <w:vAlign w:val="bottom"/>
            <w:tcBorders>
              <w:bottom w:val="single" w:sz="8" w:color="CFF0FC"/>
            </w:tcBorders>
            <w:shd w:val="clear" w:color="auto" w:fill="CFF0FC"/>
          </w:tcPr>
          <w:p>
            <w:pPr>
              <w:spacing w:after="0"/>
              <w:rPr>
                <w:sz w:val="24"/>
                <w:szCs w:val="24"/>
                <w:color w:val="auto"/>
              </w:rPr>
            </w:pPr>
          </w:p>
        </w:tc>
        <w:tc>
          <w:tcPr>
            <w:tcW w:w="720" w:type="dxa"/>
            <w:vAlign w:val="bottom"/>
            <w:tcBorders>
              <w:top w:val="single" w:sz="8" w:color="auto"/>
              <w:bottom w:val="single" w:sz="8" w:color="auto"/>
            </w:tcBorders>
            <w:shd w:val="clear" w:color="auto" w:fill="CFF0FC"/>
          </w:tcPr>
          <w:p>
            <w:pPr>
              <w:jc w:val="right"/>
              <w:ind w:right="534"/>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24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22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4448810</wp:posOffset>
            </wp:positionH>
            <wp:positionV relativeFrom="paragraph">
              <wp:posOffset>-984250</wp:posOffset>
            </wp:positionV>
            <wp:extent cx="76835"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4448810</wp:posOffset>
            </wp:positionH>
            <wp:positionV relativeFrom="paragraph">
              <wp:posOffset>-967105</wp:posOffset>
            </wp:positionV>
            <wp:extent cx="76835"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5339080</wp:posOffset>
            </wp:positionH>
            <wp:positionV relativeFrom="paragraph">
              <wp:posOffset>-984250</wp:posOffset>
            </wp:positionV>
            <wp:extent cx="6858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5339080</wp:posOffset>
            </wp:positionH>
            <wp:positionV relativeFrom="paragraph">
              <wp:posOffset>-967105</wp:posOffset>
            </wp:positionV>
            <wp:extent cx="68580"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6203950</wp:posOffset>
            </wp:positionH>
            <wp:positionV relativeFrom="paragraph">
              <wp:posOffset>-984250</wp:posOffset>
            </wp:positionV>
            <wp:extent cx="6858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6203950</wp:posOffset>
            </wp:positionH>
            <wp:positionV relativeFrom="paragraph">
              <wp:posOffset>-967105</wp:posOffset>
            </wp:positionV>
            <wp:extent cx="6858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-984250</wp:posOffset>
            </wp:positionV>
            <wp:extent cx="6858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-967105</wp:posOffset>
            </wp:positionV>
            <wp:extent cx="6858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4448810</wp:posOffset>
            </wp:positionH>
            <wp:positionV relativeFrom="paragraph">
              <wp:posOffset>-24765</wp:posOffset>
            </wp:positionV>
            <wp:extent cx="76835"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4448810</wp:posOffset>
            </wp:positionH>
            <wp:positionV relativeFrom="paragraph">
              <wp:posOffset>-7620</wp:posOffset>
            </wp:positionV>
            <wp:extent cx="76835"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5339080</wp:posOffset>
            </wp:positionH>
            <wp:positionV relativeFrom="paragraph">
              <wp:posOffset>-24765</wp:posOffset>
            </wp:positionV>
            <wp:extent cx="68580"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5339080</wp:posOffset>
            </wp:positionH>
            <wp:positionV relativeFrom="paragraph">
              <wp:posOffset>-7620</wp:posOffset>
            </wp:positionV>
            <wp:extent cx="68580"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6203950</wp:posOffset>
            </wp:positionH>
            <wp:positionV relativeFrom="paragraph">
              <wp:posOffset>-24765</wp:posOffset>
            </wp:positionV>
            <wp:extent cx="68580"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6203950</wp:posOffset>
            </wp:positionH>
            <wp:positionV relativeFrom="paragraph">
              <wp:posOffset>-7620</wp:posOffset>
            </wp:positionV>
            <wp:extent cx="68580"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Energy Products and Services</w:t>
      </w:r>
    </w:p>
    <w:p>
      <w:pPr>
        <w:spacing w:after="0" w:line="11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Three and six months ended June 30, 2024 and 2023. </w:t>
      </w:r>
      <w:r>
        <w:rPr>
          <w:rFonts w:ascii="Times New Roman" w:cs="Times New Roman" w:eastAsia="Times New Roman" w:hAnsi="Times New Roman"/>
          <w:sz w:val="18"/>
          <w:szCs w:val="18"/>
          <w:color w:val="auto"/>
        </w:rPr>
        <w:t>Revenue from Energy Products and Services was $1,050 million for the three months ended June 30,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2024, compared to $1,029 million for the three months ended June 30, 2023, an increase of $21 million or 2 percent. For the six months ended June 30, 2024, revenue from Energy Products and Services was $2,067 million compared to $1,970 million for the six months ended June 30, 2023, an increase of $97 million or 5 percent. Revenue improved primarily due to strong demand in international markets, which helped drive international revenue growth of 5 percent in the second quarter of 2024 and 6 percent year-to-date when compared to the prior year. Despite a decrease in drilling activity, North America revenue grew 3 percent in the second quarter of 2024 and 5 percent year-to-date due to market share gains as well as contributions from our new artificial lift business that was acquired in the first quarter of 2024.</w:t>
      </w:r>
    </w:p>
    <w:p>
      <w:pPr>
        <w:spacing w:after="0" w:line="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Operating profit from Energy Products and Services was $128 million for the three months ended June 30, 2024, compared to an operating profit of $156 million for the three months ended June 30, 2023, a decrease of $28 million. For the six months ended June 30, 2024, operating profit from Energy Products and Services was $249 million compared to operating profit of $268 million for the six months ending June 30, 2023, a decrease of $19 million. The decrease in profitability was due to a less favorable sales mix, including a 23 percent decline in sales of drill pipe in the second quarter of 2024 and an 8 percent decline year-to-date when compared to the prior year.</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Energy Equipment</w:t>
      </w:r>
    </w:p>
    <w:p>
      <w:pPr>
        <w:spacing w:after="0" w:line="11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Three and six months ended June 30, 2024 and 2023. </w:t>
      </w:r>
      <w:r>
        <w:rPr>
          <w:rFonts w:ascii="Times New Roman" w:cs="Times New Roman" w:eastAsia="Times New Roman" w:hAnsi="Times New Roman"/>
          <w:sz w:val="18"/>
          <w:szCs w:val="18"/>
          <w:color w:val="auto"/>
        </w:rPr>
        <w:t>Revenue from Energy Equipment was $1,204 million for the three months ended June 30, 2024,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$1,117 million for the three months ended June 30, 2023, an increase of $87 million or 8 percent. For the six months ending June 30, 2024, revenue from Energy Equipment was $2,382 million compared to $2,169 million for the six months ending June 30, 2023, an increase of $213 million or 10 percent. The increase in revenue is attributable to an increase in sales in both the international land and offshore markets. Revenue improved from international sales by 14 percent in the second quarter of 2024 and 17 percent year-to-date when compared to the prior year and offshore sales increased by 10 percent in the second quarter of 2024 and by 21 percent year-to-date when compared to the prior year. The increase in sales to these markets is a result of strong demand for aftermarket products and services and execution on the segment’s improving capital equipment backlog. The increases in the international land and offshore markets more than offset a decline in sales into the North American land market and the effect of divesting the segment’s Pole Products business during the second quarter of 2024. Our North American sales decreased 8 percent in the second quarter of 2024 and 6 percent year-to-date when compared to the prior year primarily related to declines in North America activity in our completions products. The divestiture of the segment’s Pole Products business during the quarter reduced revenues by 2 percent and 1 percent for the three months and six months ended June 30, 2024.</w:t>
      </w:r>
    </w:p>
    <w:p>
      <w:pPr>
        <w:spacing w:after="0" w:line="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Operating profit from Energy Equipment was $232 million for the three months ended June 30, 2024, compared to an operating profit of $81 million for the three months ended June 30, 2023, an increase of $151 million. For the six months ended June 30, 2024, operating profit from Energy Equipment was $327 million compared to operating profit of $152 million for the six months ending June 30, 2023, an increase of $175 million. Higher profitability for the three and six months ended June 30, 2024 was the result of a $131 million gain from the divestiture of the segment's Pole Products business and higher margin sales primarily driven by improved demand for aftermarket products and services. Strong execution on the segment's improving capital equipment backlog also contributed to the increase in profitability.</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24" w:name="page25"/>
    <w:bookmarkEnd w:id="24"/>
    <w:p>
      <w:pPr>
        <w:jc w:val="both"/>
        <w:spacing w:after="0" w:line="255" w:lineRule="auto"/>
        <w:rPr>
          <w:sz w:val="20"/>
          <w:szCs w:val="20"/>
          <w:color w:val="auto"/>
        </w:rPr>
      </w:pPr>
      <w:r>
        <w:rPr>
          <w:rFonts w:ascii="Times New Roman" w:cs="Times New Roman" w:eastAsia="Times New Roman" w:hAnsi="Times New Roman"/>
          <w:sz w:val="18"/>
          <w:szCs w:val="18"/>
          <w:color w:val="auto"/>
        </w:rPr>
        <w:t>The Energy Equipment segment monitors its capital equipment backlog to plan its business. New orders are added to backlog only when the Company receives a firm written order for major completion and production components or a contract related to a construction project. The capital equipment backlog was $4,331 million at June 30, 2024, an increase of $472 million from backlog of $3,859 million at June 30, 2023. Although numerous factors can affect the timing of revenue out of backlog (including, but not limited to, customer change orders and supplier accelerations or delays), the Company reasonably expects approximately 25 percent of backlog to become revenue during the rest of 2024 and the remainder thereafter. At June 30, 2024, approximately 45 percent of the capital equipment backlog was for offshore products and approximately 92 percent of the capital equipment backlog was destined for international markets.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Eliminations and corporate costs</w:t>
      </w:r>
    </w:p>
    <w:p>
      <w:pPr>
        <w:spacing w:after="0" w:line="119"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Eliminations and corporate costs were $47 million and $101 million for the three and six months ended June 30, 2024, compared to $56 million and $113 million for the three and six months ended June 30, 2023.</w:t>
      </w:r>
    </w:p>
    <w:p>
      <w:pPr>
        <w:spacing w:after="0" w:line="5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Sales from one segment to another generally are priced at estimated equivalent commercial selling prices; however, segments originating an external sale are credited with the full profit to the company. Eliminations include intercompany transactions conducted between the two reporting segments that are eliminated in consolidation. Intrasegment transactions are eliminated within each segment. Eliminations declined 19 percent when compared to the second quarter of 2023 due to lower intrasegment activity but remained relatively flat for year-to-date intrasegment activity when compared to 2023.</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Corporate costs declined 5 percent from the second quarter of 2023 and 12 percent year-to-date due to our cost savings initiatives and workforce reductions.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and financial costs and Interest Income</w:t>
      </w:r>
    </w:p>
    <w:p>
      <w:pPr>
        <w:spacing w:after="0" w:line="11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Interest and financial costs were $22 million and $46 million for the three and six months ended June 30, 2024, compared to $21 million and $42 million for the three and six months ended June 30, 2023. The increase in interest and financial costs were primarily due to debt borrowings on the revolving credit facility in the first quarter of 2024.</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income remained flat year-over-year at $8 million and $16 million for the three and six months ended June 30, 2024, and June 30, 2023.</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Equity income in unconsolidated affiliates</w:t>
      </w:r>
    </w:p>
    <w:p>
      <w:pPr>
        <w:spacing w:after="0" w:line="11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Equity income in unconsolidated affiliates was $8 million and $37 million for the three and six months ended June 30, 2024, compared to $37 million and $85 million for the three and six months ended June 30, 2023. A decline in sales of almost 30 percent from the second quarter of 2023 and 17 percent year-to-date, with a relatively flat cost structure, led to lower profitability year-over-year for our largest investment in unconsolidated affiliates.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expense, net</w:t>
      </w:r>
    </w:p>
    <w:p>
      <w:pPr>
        <w:spacing w:after="0" w:line="11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Other expense, net was $14 million and $24 million for the three and six months ended June 30, 2024, compared to $29 million and $45 million for the three and six months ended June 30, 2023, respectively. The change in expense was primarily due to larger foreign currency fluctuations in the prior year, particularly with the currency devaluation in Argentina.</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Provision for income taxes</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effective tax rate for the three and six months ended June 30, 2024 was 23.9% and 24.9%, compared to 10.8% and 12.1% for the same period in 2023. The effective tax rate for 2024 was negatively impacted by a mix of earnings in higher tax rate jurisdictions, losses in certain jurisdictions with no tax benefit, and adjustments to the carrying value of deferred tax assets, partially offset by the reduction of valuation allowances related to U.S. and state deferred tax assets. The effective tax rate for 2023 was positively impacted by the utilization of previously unrealized loss carryforwards and tax credits as well as favorable adjustments related to changes in certain exchange rates, partially offset by current year losses in certain jurisdictions with no tax benefit.</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i w:val="1"/>
          <w:iCs w:val="1"/>
          <w:color w:val="auto"/>
        </w:rPr>
        <w:t>Non-GAAP Financial Measures and Reconciliations</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Form 10-Q contains certain non-GAAP financial measures that management believes are useful tools for internal use and the investment community in evaluating NOV’s overall financial performance. These non-GAAP financial measures are broadly used to value and compare companies in the oilfield services and equipment industry. Not all companies define these measures in the same way. In addition, these non-GAAP financial measures are not a substitute for financial measures prepared in accordance with GAAP and should therefore be considered only as supplemental to such GAAP financial measures.</w:t>
      </w:r>
    </w:p>
    <w:p>
      <w:pPr>
        <w:spacing w:after="0" w:line="7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defines Adjusted EBITDA as operating profit excluding depreciation, amortization, gains and losses on sales of fixed assets and, when applicable, Other Items. Adjusted EBITDA % is a ratio showing Adjusted EBITDA as a percentage of sales. Management believes this is important information to provide because it is used by management to evaluate the Company’s operational performance and trends between periods and manage the business. Management also believes this information may be useful to investors and analysts to gain a better understanding of the Company’s results of ongoing operations. Adjusted EBITDA and Adjusted EBITDA % are not intended to replace GAAP financial measures, such as Net Income and Operating Profit %.</w:t>
      </w:r>
    </w:p>
    <w:p>
      <w:pPr>
        <w:spacing w:after="0" w:line="78"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8"/>
          <w:szCs w:val="18"/>
          <w:color w:val="auto"/>
        </w:rPr>
        <w:t>Additionally, Excess Free Cash Flow does not represent the Company's residual cash flow available for discretionary expenditures, as the calculation of these measures does not account for certain debt service requirements or other non-discretionary expenditures.</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4"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color w:val="auto"/>
        </w:rPr>
        <w:t>The following tables set forth the reconciliation of Adjusted EBITDA to its most comparable GAAP financial measure (in millions):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020" w:type="dxa"/>
            <w:vAlign w:val="bottom"/>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4"/>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0" w:type="dxa"/>
            <w:vAlign w:val="bottom"/>
            <w:gridSpan w:val="6"/>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69"/>
        </w:trPr>
        <w:tc>
          <w:tcPr>
            <w:tcW w:w="502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9"/>
        </w:trPr>
        <w:tc>
          <w:tcPr>
            <w:tcW w:w="5020" w:type="dxa"/>
            <w:vAlign w:val="bottom"/>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34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36"/>
        </w:trPr>
        <w:tc>
          <w:tcPr>
            <w:tcW w:w="5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profit:</w:t>
            </w:r>
          </w:p>
        </w:tc>
        <w:tc>
          <w:tcPr>
            <w:tcW w:w="72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r>
      <w:tr>
        <w:trPr>
          <w:trHeight w:val="238"/>
        </w:trPr>
        <w:tc>
          <w:tcPr>
            <w:tcW w:w="5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Energy Products and Services</w:t>
            </w:r>
          </w:p>
        </w:tc>
        <w:tc>
          <w:tcPr>
            <w:tcW w:w="720" w:type="dxa"/>
            <w:vAlign w:val="bottom"/>
          </w:tcPr>
          <w:p>
            <w:pPr>
              <w:jc w:val="right"/>
              <w:ind w:right="531"/>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26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2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20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22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7"/>
        </w:trPr>
        <w:tc>
          <w:tcPr>
            <w:tcW w:w="50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Energy Equipment</w:t>
            </w:r>
          </w:p>
        </w:tc>
        <w:tc>
          <w:tcPr>
            <w:tcW w:w="720" w:type="dxa"/>
            <w:vAlign w:val="bottom"/>
            <w:shd w:val="clear" w:color="auto" w:fill="CFF0FC"/>
          </w:tcPr>
          <w:p>
            <w:pPr>
              <w:spacing w:after="0"/>
              <w:rPr>
                <w:sz w:val="21"/>
                <w:szCs w:val="21"/>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2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8"/>
        </w:trPr>
        <w:tc>
          <w:tcPr>
            <w:tcW w:w="5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Eliminations and corporate costs</w:t>
            </w:r>
          </w:p>
        </w:tc>
        <w:tc>
          <w:tcPr>
            <w:tcW w:w="720" w:type="dxa"/>
            <w:vAlign w:val="bottom"/>
          </w:tcPr>
          <w:p>
            <w:pPr>
              <w:spacing w:after="0"/>
              <w:rPr>
                <w:sz w:val="20"/>
                <w:szCs w:val="20"/>
                <w:color w:val="auto"/>
              </w:rPr>
            </w:pPr>
          </w:p>
        </w:tc>
        <w:tc>
          <w:tcPr>
            <w:tcW w:w="60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color w:val="auto"/>
              </w:rPr>
              <w:t>(47 )</w:t>
            </w:r>
          </w:p>
        </w:tc>
        <w:tc>
          <w:tcPr>
            <w:tcW w:w="260" w:type="dxa"/>
            <w:vAlign w:val="bottom"/>
          </w:tcPr>
          <w:p>
            <w:pPr>
              <w:spacing w:after="0"/>
              <w:rPr>
                <w:sz w:val="20"/>
                <w:szCs w:val="20"/>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(56 )</w:t>
            </w:r>
          </w:p>
        </w:tc>
        <w:tc>
          <w:tcPr>
            <w:tcW w:w="14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(54 )</w:t>
            </w:r>
          </w:p>
        </w:tc>
        <w:tc>
          <w:tcPr>
            <w:tcW w:w="240" w:type="dxa"/>
            <w:vAlign w:val="bottom"/>
          </w:tcPr>
          <w:p>
            <w:pPr>
              <w:spacing w:after="0"/>
              <w:rPr>
                <w:sz w:val="20"/>
                <w:szCs w:val="20"/>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(101 )</w:t>
            </w:r>
          </w:p>
        </w:tc>
        <w:tc>
          <w:tcPr>
            <w:tcW w:w="240" w:type="dxa"/>
            <w:vAlign w:val="bottom"/>
          </w:tcPr>
          <w:p>
            <w:pPr>
              <w:spacing w:after="0"/>
              <w:rPr>
                <w:sz w:val="20"/>
                <w:szCs w:val="20"/>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(113 )</w:t>
            </w:r>
          </w:p>
        </w:tc>
        <w:tc>
          <w:tcPr>
            <w:tcW w:w="60" w:type="dxa"/>
            <w:vAlign w:val="bottom"/>
          </w:tcPr>
          <w:p>
            <w:pPr>
              <w:spacing w:after="0"/>
              <w:rPr>
                <w:sz w:val="20"/>
                <w:szCs w:val="20"/>
                <w:color w:val="auto"/>
              </w:rPr>
            </w:pPr>
          </w:p>
        </w:tc>
      </w:tr>
      <w:tr>
        <w:trPr>
          <w:trHeight w:val="276"/>
        </w:trPr>
        <w:tc>
          <w:tcPr>
            <w:tcW w:w="50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operating profit</w:t>
            </w:r>
          </w:p>
        </w:tc>
        <w:tc>
          <w:tcPr>
            <w:tcW w:w="720" w:type="dxa"/>
            <w:vAlign w:val="bottom"/>
            <w:tcBorders>
              <w:top w:val="single" w:sz="8" w:color="auto"/>
              <w:bottom w:val="single" w:sz="8" w:color="auto"/>
            </w:tcBorders>
            <w:shd w:val="clear" w:color="auto" w:fill="CFF0FC"/>
          </w:tcPr>
          <w:p>
            <w:pPr>
              <w:jc w:val="right"/>
              <w:ind w:right="531"/>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26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22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20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22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100" w:type="dxa"/>
            <w:vAlign w:val="bottom"/>
            <w:tcBorders>
              <w:bottom w:val="single" w:sz="8" w:color="CFF0FC"/>
            </w:tcBorders>
            <w:shd w:val="clear" w:color="auto" w:fill="CFF0FC"/>
          </w:tcPr>
          <w:p>
            <w:pPr>
              <w:spacing w:after="0"/>
              <w:rPr>
                <w:sz w:val="24"/>
                <w:szCs w:val="24"/>
                <w:color w:val="auto"/>
              </w:rPr>
            </w:pPr>
          </w:p>
        </w:tc>
        <w:tc>
          <w:tcPr>
            <w:tcW w:w="60" w:type="dxa"/>
            <w:vAlign w:val="bottom"/>
          </w:tcPr>
          <w:p>
            <w:pPr>
              <w:spacing w:after="0"/>
              <w:rPr>
                <w:sz w:val="24"/>
                <w:szCs w:val="24"/>
                <w:color w:val="auto"/>
              </w:rPr>
            </w:pPr>
          </w:p>
        </w:tc>
      </w:tr>
      <w:tr>
        <w:trPr>
          <w:trHeight w:val="160"/>
        </w:trPr>
        <w:tc>
          <w:tcPr>
            <w:tcW w:w="50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243"/>
        </w:trPr>
        <w:tc>
          <w:tcPr>
            <w:tcW w:w="5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profit %:</w:t>
            </w:r>
          </w:p>
        </w:tc>
        <w:tc>
          <w:tcPr>
            <w:tcW w:w="7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4"/>
        </w:trPr>
        <w:tc>
          <w:tcPr>
            <w:tcW w:w="5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Energy Products and Services</w:t>
            </w:r>
          </w:p>
        </w:tc>
        <w:tc>
          <w:tcPr>
            <w:tcW w:w="720" w:type="dxa"/>
            <w:vAlign w:val="bottom"/>
          </w:tcPr>
          <w:p>
            <w:pPr>
              <w:spacing w:after="0"/>
              <w:rPr>
                <w:sz w:val="20"/>
                <w:szCs w:val="20"/>
                <w:color w:val="auto"/>
              </w:rPr>
            </w:pPr>
          </w:p>
        </w:tc>
        <w:tc>
          <w:tcPr>
            <w:tcW w:w="60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w w:val="97"/>
              </w:rPr>
              <w:t>12.2 %</w:t>
            </w:r>
          </w:p>
        </w:tc>
        <w:tc>
          <w:tcPr>
            <w:tcW w:w="260" w:type="dxa"/>
            <w:vAlign w:val="bottom"/>
          </w:tcPr>
          <w:p>
            <w:pPr>
              <w:spacing w:after="0"/>
              <w:rPr>
                <w:sz w:val="20"/>
                <w:szCs w:val="20"/>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15.2 %</w:t>
            </w:r>
          </w:p>
        </w:tc>
        <w:tc>
          <w:tcPr>
            <w:tcW w:w="140" w:type="dxa"/>
            <w:vAlign w:val="bottom"/>
          </w:tcPr>
          <w:p>
            <w:pPr>
              <w:spacing w:after="0"/>
              <w:rPr>
                <w:sz w:val="20"/>
                <w:szCs w:val="20"/>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11.9 %</w:t>
            </w:r>
          </w:p>
        </w:tc>
        <w:tc>
          <w:tcPr>
            <w:tcW w:w="240" w:type="dxa"/>
            <w:vAlign w:val="bottom"/>
          </w:tcPr>
          <w:p>
            <w:pPr>
              <w:spacing w:after="0"/>
              <w:rPr>
                <w:sz w:val="20"/>
                <w:szCs w:val="20"/>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12.0 %</w:t>
            </w:r>
          </w:p>
        </w:tc>
        <w:tc>
          <w:tcPr>
            <w:tcW w:w="240" w:type="dxa"/>
            <w:vAlign w:val="bottom"/>
          </w:tcPr>
          <w:p>
            <w:pPr>
              <w:spacing w:after="0"/>
              <w:rPr>
                <w:sz w:val="20"/>
                <w:szCs w:val="20"/>
                <w:color w:val="auto"/>
              </w:rPr>
            </w:pP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13.6 %</w:t>
            </w:r>
          </w:p>
        </w:tc>
      </w:tr>
      <w:tr>
        <w:trPr>
          <w:trHeight w:val="238"/>
        </w:trPr>
        <w:tc>
          <w:tcPr>
            <w:tcW w:w="5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Energy Equipment</w:t>
            </w:r>
          </w:p>
        </w:tc>
        <w:tc>
          <w:tcPr>
            <w:tcW w:w="720" w:type="dxa"/>
            <w:vAlign w:val="bottom"/>
          </w:tcPr>
          <w:p>
            <w:pPr>
              <w:spacing w:after="0"/>
              <w:rPr>
                <w:sz w:val="20"/>
                <w:szCs w:val="20"/>
                <w:color w:val="auto"/>
              </w:rPr>
            </w:pPr>
          </w:p>
        </w:tc>
        <w:tc>
          <w:tcPr>
            <w:tcW w:w="60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w w:val="97"/>
              </w:rPr>
              <w:t>19.3 %</w:t>
            </w:r>
          </w:p>
        </w:tc>
        <w:tc>
          <w:tcPr>
            <w:tcW w:w="260" w:type="dxa"/>
            <w:vAlign w:val="bottom"/>
          </w:tcPr>
          <w:p>
            <w:pPr>
              <w:spacing w:after="0"/>
              <w:rPr>
                <w:sz w:val="20"/>
                <w:szCs w:val="20"/>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7.3 %</w:t>
            </w:r>
          </w:p>
        </w:tc>
        <w:tc>
          <w:tcPr>
            <w:tcW w:w="140" w:type="dxa"/>
            <w:vAlign w:val="bottom"/>
          </w:tcPr>
          <w:p>
            <w:pPr>
              <w:spacing w:after="0"/>
              <w:rPr>
                <w:sz w:val="20"/>
                <w:szCs w:val="20"/>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8.1 %</w:t>
            </w:r>
          </w:p>
        </w:tc>
        <w:tc>
          <w:tcPr>
            <w:tcW w:w="240" w:type="dxa"/>
            <w:vAlign w:val="bottom"/>
          </w:tcPr>
          <w:p>
            <w:pPr>
              <w:spacing w:after="0"/>
              <w:rPr>
                <w:sz w:val="20"/>
                <w:szCs w:val="20"/>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13.7 %</w:t>
            </w:r>
          </w:p>
        </w:tc>
        <w:tc>
          <w:tcPr>
            <w:tcW w:w="240" w:type="dxa"/>
            <w:vAlign w:val="bottom"/>
          </w:tcPr>
          <w:p>
            <w:pPr>
              <w:spacing w:after="0"/>
              <w:rPr>
                <w:sz w:val="20"/>
                <w:szCs w:val="20"/>
                <w:color w:val="auto"/>
              </w:rPr>
            </w:pP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7.0 %</w:t>
            </w:r>
          </w:p>
        </w:tc>
      </w:tr>
      <w:tr>
        <w:trPr>
          <w:trHeight w:val="250"/>
        </w:trPr>
        <w:tc>
          <w:tcPr>
            <w:tcW w:w="5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Eliminations and corporate costs</w:t>
            </w:r>
          </w:p>
        </w:tc>
        <w:tc>
          <w:tcPr>
            <w:tcW w:w="72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tcPr>
          <w:p>
            <w:pPr>
              <w:spacing w:after="0"/>
              <w:rPr>
                <w:sz w:val="21"/>
                <w:szCs w:val="21"/>
                <w:color w:val="auto"/>
              </w:rPr>
            </w:pPr>
          </w:p>
        </w:tc>
      </w:tr>
      <w:tr>
        <w:trPr>
          <w:trHeight w:val="238"/>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operating profit %</w:t>
            </w:r>
          </w:p>
        </w:tc>
        <w:tc>
          <w:tcPr>
            <w:tcW w:w="720" w:type="dxa"/>
            <w:vAlign w:val="bottom"/>
          </w:tcPr>
          <w:p>
            <w:pPr>
              <w:spacing w:after="0"/>
              <w:rPr>
                <w:sz w:val="20"/>
                <w:szCs w:val="20"/>
                <w:color w:val="auto"/>
              </w:rPr>
            </w:pPr>
          </w:p>
        </w:tc>
        <w:tc>
          <w:tcPr>
            <w:tcW w:w="60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w w:val="97"/>
              </w:rPr>
              <w:t>14.1 %</w:t>
            </w:r>
          </w:p>
        </w:tc>
        <w:tc>
          <w:tcPr>
            <w:tcW w:w="260" w:type="dxa"/>
            <w:vAlign w:val="bottom"/>
          </w:tcPr>
          <w:p>
            <w:pPr>
              <w:spacing w:after="0"/>
              <w:rPr>
                <w:sz w:val="20"/>
                <w:szCs w:val="20"/>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8.6 %</w:t>
            </w:r>
          </w:p>
        </w:tc>
        <w:tc>
          <w:tcPr>
            <w:tcW w:w="140" w:type="dxa"/>
            <w:vAlign w:val="bottom"/>
          </w:tcPr>
          <w:p>
            <w:pPr>
              <w:spacing w:after="0"/>
              <w:rPr>
                <w:sz w:val="20"/>
                <w:szCs w:val="20"/>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7.5 %</w:t>
            </w:r>
          </w:p>
        </w:tc>
        <w:tc>
          <w:tcPr>
            <w:tcW w:w="240" w:type="dxa"/>
            <w:vAlign w:val="bottom"/>
          </w:tcPr>
          <w:p>
            <w:pPr>
              <w:spacing w:after="0"/>
              <w:rPr>
                <w:sz w:val="20"/>
                <w:szCs w:val="20"/>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10.9 %</w:t>
            </w:r>
          </w:p>
        </w:tc>
        <w:tc>
          <w:tcPr>
            <w:tcW w:w="240" w:type="dxa"/>
            <w:vAlign w:val="bottom"/>
          </w:tcPr>
          <w:p>
            <w:pPr>
              <w:spacing w:after="0"/>
              <w:rPr>
                <w:sz w:val="20"/>
                <w:szCs w:val="20"/>
                <w:color w:val="auto"/>
              </w:rPr>
            </w:pP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7.6 %</w:t>
            </w:r>
          </w:p>
        </w:tc>
      </w:tr>
      <w:tr>
        <w:trPr>
          <w:trHeight w:val="20"/>
        </w:trPr>
        <w:tc>
          <w:tcPr>
            <w:tcW w:w="50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60"/>
        </w:trPr>
        <w:tc>
          <w:tcPr>
            <w:tcW w:w="50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243"/>
        </w:trPr>
        <w:tc>
          <w:tcPr>
            <w:tcW w:w="5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items, net:</w:t>
            </w:r>
          </w:p>
        </w:tc>
        <w:tc>
          <w:tcPr>
            <w:tcW w:w="7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8"/>
        </w:trPr>
        <w:tc>
          <w:tcPr>
            <w:tcW w:w="5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Energy Products and Services</w:t>
            </w:r>
          </w:p>
        </w:tc>
        <w:tc>
          <w:tcPr>
            <w:tcW w:w="720" w:type="dxa"/>
            <w:vAlign w:val="bottom"/>
          </w:tcPr>
          <w:p>
            <w:pPr>
              <w:jc w:val="right"/>
              <w:ind w:right="531"/>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(1 )</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(1 )</w:t>
            </w:r>
          </w:p>
        </w:tc>
        <w:tc>
          <w:tcPr>
            <w:tcW w:w="60" w:type="dxa"/>
            <w:vAlign w:val="bottom"/>
          </w:tcPr>
          <w:p>
            <w:pPr>
              <w:spacing w:after="0"/>
              <w:rPr>
                <w:sz w:val="20"/>
                <w:szCs w:val="20"/>
                <w:color w:val="auto"/>
              </w:rPr>
            </w:pPr>
          </w:p>
        </w:tc>
      </w:tr>
      <w:tr>
        <w:trPr>
          <w:trHeight w:val="247"/>
        </w:trPr>
        <w:tc>
          <w:tcPr>
            <w:tcW w:w="50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Energy Equipment</w:t>
            </w:r>
          </w:p>
        </w:tc>
        <w:tc>
          <w:tcPr>
            <w:tcW w:w="720" w:type="dxa"/>
            <w:vAlign w:val="bottom"/>
            <w:shd w:val="clear" w:color="auto" w:fill="CFF0FC"/>
          </w:tcPr>
          <w:p>
            <w:pPr>
              <w:spacing w:after="0"/>
              <w:rPr>
                <w:sz w:val="21"/>
                <w:szCs w:val="21"/>
                <w:color w:val="auto"/>
              </w:rPr>
            </w:pPr>
          </w:p>
        </w:tc>
        <w:tc>
          <w:tcPr>
            <w:tcW w:w="600" w:type="dxa"/>
            <w:vAlign w:val="bottom"/>
            <w:gridSpan w:val="2"/>
            <w:shd w:val="clear" w:color="auto" w:fill="CFF0FC"/>
          </w:tcPr>
          <w:p>
            <w:pPr>
              <w:jc w:val="right"/>
              <w:ind w:right="108"/>
              <w:spacing w:after="0"/>
              <w:rPr>
                <w:sz w:val="20"/>
                <w:szCs w:val="20"/>
                <w:color w:val="auto"/>
              </w:rPr>
            </w:pPr>
            <w:r>
              <w:rPr>
                <w:rFonts w:ascii="Times New Roman" w:cs="Times New Roman" w:eastAsia="Times New Roman" w:hAnsi="Times New Roman"/>
                <w:sz w:val="18"/>
                <w:szCs w:val="18"/>
                <w:color w:val="auto"/>
                <w:w w:val="91"/>
              </w:rPr>
              <w:t>(119 )</w:t>
            </w:r>
          </w:p>
        </w:tc>
        <w:tc>
          <w:tcPr>
            <w:tcW w:w="26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(7 )</w:t>
            </w:r>
          </w:p>
        </w:tc>
        <w:tc>
          <w:tcPr>
            <w:tcW w:w="14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(4 )</w:t>
            </w:r>
          </w:p>
        </w:tc>
        <w:tc>
          <w:tcPr>
            <w:tcW w:w="24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(123 )</w:t>
            </w:r>
          </w:p>
        </w:tc>
        <w:tc>
          <w:tcPr>
            <w:tcW w:w="24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(11 )</w:t>
            </w:r>
          </w:p>
        </w:tc>
        <w:tc>
          <w:tcPr>
            <w:tcW w:w="60" w:type="dxa"/>
            <w:vAlign w:val="bottom"/>
          </w:tcPr>
          <w:p>
            <w:pPr>
              <w:spacing w:after="0"/>
              <w:rPr>
                <w:sz w:val="21"/>
                <w:szCs w:val="21"/>
                <w:color w:val="auto"/>
              </w:rPr>
            </w:pPr>
          </w:p>
        </w:tc>
      </w:tr>
      <w:tr>
        <w:trPr>
          <w:trHeight w:val="238"/>
        </w:trPr>
        <w:tc>
          <w:tcPr>
            <w:tcW w:w="5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Corporate</w:t>
            </w:r>
          </w:p>
        </w:tc>
        <w:tc>
          <w:tcPr>
            <w:tcW w:w="7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76"/>
        </w:trPr>
        <w:tc>
          <w:tcPr>
            <w:tcW w:w="5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other items</w:t>
            </w:r>
          </w:p>
        </w:tc>
        <w:tc>
          <w:tcPr>
            <w:tcW w:w="720" w:type="dxa"/>
            <w:vAlign w:val="bottom"/>
            <w:shd w:val="clear" w:color="auto" w:fill="CFF0FC"/>
          </w:tcPr>
          <w:p>
            <w:pPr>
              <w:jc w:val="right"/>
              <w:ind w:right="531"/>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gridSpan w:val="2"/>
            <w:shd w:val="clear" w:color="auto" w:fill="CFF0FC"/>
          </w:tcPr>
          <w:p>
            <w:pPr>
              <w:jc w:val="right"/>
              <w:ind w:right="108"/>
              <w:spacing w:after="0"/>
              <w:rPr>
                <w:sz w:val="20"/>
                <w:szCs w:val="20"/>
                <w:color w:val="auto"/>
              </w:rPr>
            </w:pPr>
            <w:r>
              <w:rPr>
                <w:rFonts w:ascii="Times New Roman" w:cs="Times New Roman" w:eastAsia="Times New Roman" w:hAnsi="Times New Roman"/>
                <w:sz w:val="18"/>
                <w:szCs w:val="18"/>
                <w:color w:val="auto"/>
                <w:w w:val="91"/>
              </w:rPr>
              <w:t>(118 )</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(7 )</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(3 )</w:t>
            </w:r>
          </w:p>
        </w:tc>
        <w:tc>
          <w:tcPr>
            <w:tcW w:w="2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(121 )</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(11 )</w:t>
            </w:r>
          </w:p>
        </w:tc>
        <w:tc>
          <w:tcPr>
            <w:tcW w:w="60" w:type="dxa"/>
            <w:vAlign w:val="bottom"/>
          </w:tcPr>
          <w:p>
            <w:pPr>
              <w:spacing w:after="0"/>
              <w:rPr>
                <w:sz w:val="24"/>
                <w:szCs w:val="24"/>
                <w:color w:val="auto"/>
              </w:rPr>
            </w:pPr>
          </w:p>
        </w:tc>
      </w:tr>
      <w:tr>
        <w:trPr>
          <w:trHeight w:val="160"/>
        </w:trPr>
        <w:tc>
          <w:tcPr>
            <w:tcW w:w="5020" w:type="dxa"/>
            <w:vAlign w:val="bottom"/>
            <w:tcBorders>
              <w:top w:val="single" w:sz="8" w:color="CFF0FC"/>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260" w:type="dxa"/>
            <w:vAlign w:val="bottom"/>
            <w:tcBorders>
              <w:top w:val="single" w:sz="8" w:color="CFF0FC"/>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220" w:type="dxa"/>
            <w:vAlign w:val="bottom"/>
            <w:tcBorders>
              <w:top w:val="single" w:sz="8" w:color="CFF0FC"/>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200" w:type="dxa"/>
            <w:vAlign w:val="bottom"/>
            <w:tcBorders>
              <w:top w:val="single" w:sz="8" w:color="CFF0FC"/>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220" w:type="dxa"/>
            <w:vAlign w:val="bottom"/>
            <w:tcBorders>
              <w:top w:val="single" w:sz="8" w:color="CFF0FC"/>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00" w:type="dxa"/>
            <w:vAlign w:val="bottom"/>
            <w:tcBorders>
              <w:top w:val="single" w:sz="8" w:color="CFF0FC"/>
            </w:tcBorders>
          </w:tcPr>
          <w:p>
            <w:pPr>
              <w:spacing w:after="0"/>
              <w:rPr>
                <w:sz w:val="13"/>
                <w:szCs w:val="13"/>
                <w:color w:val="auto"/>
              </w:rPr>
            </w:pPr>
          </w:p>
        </w:tc>
        <w:tc>
          <w:tcPr>
            <w:tcW w:w="60" w:type="dxa"/>
            <w:vAlign w:val="bottom"/>
          </w:tcPr>
          <w:p>
            <w:pPr>
              <w:spacing w:after="0"/>
              <w:rPr>
                <w:sz w:val="13"/>
                <w:szCs w:val="13"/>
                <w:color w:val="auto"/>
              </w:rPr>
            </w:pPr>
          </w:p>
        </w:tc>
      </w:tr>
      <w:tr>
        <w:trPr>
          <w:trHeight w:val="243"/>
        </w:trPr>
        <w:tc>
          <w:tcPr>
            <w:tcW w:w="5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(Gain)/loss on sales of fixed assets:</w:t>
            </w:r>
          </w:p>
        </w:tc>
        <w:tc>
          <w:tcPr>
            <w:tcW w:w="7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8"/>
        </w:trPr>
        <w:tc>
          <w:tcPr>
            <w:tcW w:w="5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Energy Products and Services</w:t>
            </w:r>
          </w:p>
        </w:tc>
        <w:tc>
          <w:tcPr>
            <w:tcW w:w="720" w:type="dxa"/>
            <w:vAlign w:val="bottom"/>
          </w:tcPr>
          <w:p>
            <w:pPr>
              <w:jc w:val="right"/>
              <w:ind w:right="531"/>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gridSpan w:val="2"/>
          </w:tcPr>
          <w:p>
            <w:pPr>
              <w:jc w:val="right"/>
              <w:ind w:right="188"/>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(1 )</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(1 )</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(3 )</w:t>
            </w:r>
          </w:p>
        </w:tc>
        <w:tc>
          <w:tcPr>
            <w:tcW w:w="60" w:type="dxa"/>
            <w:vAlign w:val="bottom"/>
          </w:tcPr>
          <w:p>
            <w:pPr>
              <w:spacing w:after="0"/>
              <w:rPr>
                <w:sz w:val="20"/>
                <w:szCs w:val="20"/>
                <w:color w:val="auto"/>
              </w:rPr>
            </w:pPr>
          </w:p>
        </w:tc>
      </w:tr>
      <w:tr>
        <w:trPr>
          <w:trHeight w:val="247"/>
        </w:trPr>
        <w:tc>
          <w:tcPr>
            <w:tcW w:w="50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Energy Equipment</w:t>
            </w:r>
          </w:p>
        </w:tc>
        <w:tc>
          <w:tcPr>
            <w:tcW w:w="720" w:type="dxa"/>
            <w:vAlign w:val="bottom"/>
            <w:shd w:val="clear" w:color="auto" w:fill="CFF0FC"/>
          </w:tcPr>
          <w:p>
            <w:pPr>
              <w:spacing w:after="0"/>
              <w:rPr>
                <w:sz w:val="21"/>
                <w:szCs w:val="21"/>
                <w:color w:val="auto"/>
              </w:rPr>
            </w:pPr>
          </w:p>
        </w:tc>
        <w:tc>
          <w:tcPr>
            <w:tcW w:w="600" w:type="dxa"/>
            <w:vAlign w:val="bottom"/>
            <w:gridSpan w:val="2"/>
            <w:shd w:val="clear" w:color="auto" w:fill="CFF0FC"/>
          </w:tcPr>
          <w:p>
            <w:pPr>
              <w:jc w:val="right"/>
              <w:ind w:right="188"/>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(1 )</w:t>
            </w:r>
          </w:p>
        </w:tc>
        <w:tc>
          <w:tcPr>
            <w:tcW w:w="14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(3 )</w:t>
            </w:r>
          </w:p>
        </w:tc>
        <w:tc>
          <w:tcPr>
            <w:tcW w:w="60" w:type="dxa"/>
            <w:vAlign w:val="bottom"/>
          </w:tcPr>
          <w:p>
            <w:pPr>
              <w:spacing w:after="0"/>
              <w:rPr>
                <w:sz w:val="21"/>
                <w:szCs w:val="21"/>
                <w:color w:val="auto"/>
              </w:rPr>
            </w:pPr>
          </w:p>
        </w:tc>
      </w:tr>
      <w:tr>
        <w:trPr>
          <w:trHeight w:val="238"/>
        </w:trPr>
        <w:tc>
          <w:tcPr>
            <w:tcW w:w="5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Corporate</w:t>
            </w:r>
          </w:p>
        </w:tc>
        <w:tc>
          <w:tcPr>
            <w:tcW w:w="7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76"/>
        </w:trPr>
        <w:tc>
          <w:tcPr>
            <w:tcW w:w="5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(gain)/loss on sales of fixed assets</w:t>
            </w:r>
          </w:p>
        </w:tc>
        <w:tc>
          <w:tcPr>
            <w:tcW w:w="720" w:type="dxa"/>
            <w:vAlign w:val="bottom"/>
            <w:shd w:val="clear" w:color="auto" w:fill="CFF0FC"/>
          </w:tcPr>
          <w:p>
            <w:pPr>
              <w:jc w:val="right"/>
              <w:ind w:right="531"/>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gridSpan w:val="2"/>
            <w:shd w:val="clear" w:color="auto" w:fill="CFF0FC"/>
          </w:tcPr>
          <w:p>
            <w:pPr>
              <w:jc w:val="right"/>
              <w:ind w:right="188"/>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(1 )</w:t>
            </w:r>
          </w:p>
        </w:tc>
        <w:tc>
          <w:tcPr>
            <w:tcW w:w="2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(1 )</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(4 )</w:t>
            </w:r>
          </w:p>
        </w:tc>
        <w:tc>
          <w:tcPr>
            <w:tcW w:w="60" w:type="dxa"/>
            <w:vAlign w:val="bottom"/>
          </w:tcPr>
          <w:p>
            <w:pPr>
              <w:spacing w:after="0"/>
              <w:rPr>
                <w:sz w:val="24"/>
                <w:szCs w:val="24"/>
                <w:color w:val="auto"/>
              </w:rPr>
            </w:pPr>
          </w:p>
        </w:tc>
      </w:tr>
      <w:tr>
        <w:trPr>
          <w:trHeight w:val="160"/>
        </w:trPr>
        <w:tc>
          <w:tcPr>
            <w:tcW w:w="5020" w:type="dxa"/>
            <w:vAlign w:val="bottom"/>
            <w:tcBorders>
              <w:top w:val="single" w:sz="8" w:color="CFF0FC"/>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260" w:type="dxa"/>
            <w:vAlign w:val="bottom"/>
            <w:tcBorders>
              <w:top w:val="single" w:sz="8" w:color="CFF0FC"/>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220" w:type="dxa"/>
            <w:vAlign w:val="bottom"/>
            <w:tcBorders>
              <w:top w:val="single" w:sz="8" w:color="CFF0FC"/>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200" w:type="dxa"/>
            <w:vAlign w:val="bottom"/>
            <w:tcBorders>
              <w:top w:val="single" w:sz="8" w:color="CFF0FC"/>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220" w:type="dxa"/>
            <w:vAlign w:val="bottom"/>
            <w:tcBorders>
              <w:top w:val="single" w:sz="8" w:color="CFF0FC"/>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00" w:type="dxa"/>
            <w:vAlign w:val="bottom"/>
            <w:tcBorders>
              <w:top w:val="single" w:sz="8" w:color="CFF0FC"/>
            </w:tcBorders>
          </w:tcPr>
          <w:p>
            <w:pPr>
              <w:spacing w:after="0"/>
              <w:rPr>
                <w:sz w:val="13"/>
                <w:szCs w:val="13"/>
                <w:color w:val="auto"/>
              </w:rPr>
            </w:pPr>
          </w:p>
        </w:tc>
        <w:tc>
          <w:tcPr>
            <w:tcW w:w="60" w:type="dxa"/>
            <w:vAlign w:val="bottom"/>
          </w:tcPr>
          <w:p>
            <w:pPr>
              <w:spacing w:after="0"/>
              <w:rPr>
                <w:sz w:val="13"/>
                <w:szCs w:val="13"/>
                <w:color w:val="auto"/>
              </w:rPr>
            </w:pPr>
          </w:p>
        </w:tc>
      </w:tr>
      <w:tr>
        <w:trPr>
          <w:trHeight w:val="243"/>
        </w:trPr>
        <w:tc>
          <w:tcPr>
            <w:tcW w:w="5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Depreciation &amp; amortization:</w:t>
            </w:r>
          </w:p>
        </w:tc>
        <w:tc>
          <w:tcPr>
            <w:tcW w:w="7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8"/>
        </w:trPr>
        <w:tc>
          <w:tcPr>
            <w:tcW w:w="5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Energy Products and Services</w:t>
            </w:r>
          </w:p>
        </w:tc>
        <w:tc>
          <w:tcPr>
            <w:tcW w:w="720" w:type="dxa"/>
            <w:vAlign w:val="bottom"/>
          </w:tcPr>
          <w:p>
            <w:pPr>
              <w:jc w:val="right"/>
              <w:ind w:right="531"/>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6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20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22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7"/>
        </w:trPr>
        <w:tc>
          <w:tcPr>
            <w:tcW w:w="50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Energy Equipment</w:t>
            </w:r>
          </w:p>
        </w:tc>
        <w:tc>
          <w:tcPr>
            <w:tcW w:w="720" w:type="dxa"/>
            <w:vAlign w:val="bottom"/>
            <w:shd w:val="clear" w:color="auto" w:fill="CFF0FC"/>
          </w:tcPr>
          <w:p>
            <w:pPr>
              <w:spacing w:after="0"/>
              <w:rPr>
                <w:sz w:val="21"/>
                <w:szCs w:val="21"/>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8"/>
        </w:trPr>
        <w:tc>
          <w:tcPr>
            <w:tcW w:w="5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Corporate</w:t>
            </w:r>
          </w:p>
        </w:tc>
        <w:tc>
          <w:tcPr>
            <w:tcW w:w="7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76"/>
        </w:trPr>
        <w:tc>
          <w:tcPr>
            <w:tcW w:w="50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depreciation &amp; amortization</w:t>
            </w:r>
          </w:p>
        </w:tc>
        <w:tc>
          <w:tcPr>
            <w:tcW w:w="720" w:type="dxa"/>
            <w:vAlign w:val="bottom"/>
            <w:tcBorders>
              <w:bottom w:val="single" w:sz="8" w:color="auto"/>
            </w:tcBorders>
            <w:shd w:val="clear" w:color="auto" w:fill="CFF0FC"/>
          </w:tcPr>
          <w:p>
            <w:pPr>
              <w:jc w:val="right"/>
              <w:ind w:right="531"/>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26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22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20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22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00" w:type="dxa"/>
            <w:vAlign w:val="bottom"/>
            <w:tcBorders>
              <w:bottom w:val="single" w:sz="8" w:color="CFF0FC"/>
            </w:tcBorders>
            <w:shd w:val="clear" w:color="auto" w:fill="CFF0FC"/>
          </w:tcPr>
          <w:p>
            <w:pPr>
              <w:spacing w:after="0"/>
              <w:rPr>
                <w:sz w:val="24"/>
                <w:szCs w:val="24"/>
                <w:color w:val="auto"/>
              </w:rPr>
            </w:pPr>
          </w:p>
        </w:tc>
        <w:tc>
          <w:tcPr>
            <w:tcW w:w="60" w:type="dxa"/>
            <w:vAlign w:val="bottom"/>
          </w:tcPr>
          <w:p>
            <w:pPr>
              <w:spacing w:after="0"/>
              <w:rPr>
                <w:sz w:val="24"/>
                <w:szCs w:val="24"/>
                <w:color w:val="auto"/>
              </w:rPr>
            </w:pPr>
          </w:p>
        </w:tc>
      </w:tr>
      <w:tr>
        <w:trPr>
          <w:trHeight w:val="160"/>
        </w:trPr>
        <w:tc>
          <w:tcPr>
            <w:tcW w:w="50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243"/>
        </w:trPr>
        <w:tc>
          <w:tcPr>
            <w:tcW w:w="5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7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8"/>
        </w:trPr>
        <w:tc>
          <w:tcPr>
            <w:tcW w:w="5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Energy Products and Services</w:t>
            </w:r>
          </w:p>
        </w:tc>
        <w:tc>
          <w:tcPr>
            <w:tcW w:w="720" w:type="dxa"/>
            <w:vAlign w:val="bottom"/>
          </w:tcPr>
          <w:p>
            <w:pPr>
              <w:jc w:val="right"/>
              <w:ind w:right="531"/>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26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2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20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22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7"/>
        </w:trPr>
        <w:tc>
          <w:tcPr>
            <w:tcW w:w="50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Energy Equipment</w:t>
            </w:r>
          </w:p>
        </w:tc>
        <w:tc>
          <w:tcPr>
            <w:tcW w:w="720" w:type="dxa"/>
            <w:vAlign w:val="bottom"/>
            <w:shd w:val="clear" w:color="auto" w:fill="CFF0FC"/>
          </w:tcPr>
          <w:p>
            <w:pPr>
              <w:spacing w:after="0"/>
              <w:rPr>
                <w:sz w:val="21"/>
                <w:szCs w:val="21"/>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2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8"/>
        </w:trPr>
        <w:tc>
          <w:tcPr>
            <w:tcW w:w="5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Eliminations and corporate costs</w:t>
            </w:r>
          </w:p>
        </w:tc>
        <w:tc>
          <w:tcPr>
            <w:tcW w:w="720" w:type="dxa"/>
            <w:vAlign w:val="bottom"/>
          </w:tcPr>
          <w:p>
            <w:pPr>
              <w:spacing w:after="0"/>
              <w:rPr>
                <w:sz w:val="20"/>
                <w:szCs w:val="20"/>
                <w:color w:val="auto"/>
              </w:rPr>
            </w:pPr>
          </w:p>
        </w:tc>
        <w:tc>
          <w:tcPr>
            <w:tcW w:w="60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color w:val="auto"/>
              </w:rPr>
              <w:t>(45 )</w:t>
            </w:r>
          </w:p>
        </w:tc>
        <w:tc>
          <w:tcPr>
            <w:tcW w:w="260" w:type="dxa"/>
            <w:vAlign w:val="bottom"/>
          </w:tcPr>
          <w:p>
            <w:pPr>
              <w:spacing w:after="0"/>
              <w:rPr>
                <w:sz w:val="20"/>
                <w:szCs w:val="20"/>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(52 )</w:t>
            </w:r>
          </w:p>
        </w:tc>
        <w:tc>
          <w:tcPr>
            <w:tcW w:w="14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(52 )</w:t>
            </w:r>
          </w:p>
        </w:tc>
        <w:tc>
          <w:tcPr>
            <w:tcW w:w="240" w:type="dxa"/>
            <w:vAlign w:val="bottom"/>
          </w:tcPr>
          <w:p>
            <w:pPr>
              <w:spacing w:after="0"/>
              <w:rPr>
                <w:sz w:val="20"/>
                <w:szCs w:val="20"/>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(97 )</w:t>
            </w:r>
          </w:p>
        </w:tc>
        <w:tc>
          <w:tcPr>
            <w:tcW w:w="240" w:type="dxa"/>
            <w:vAlign w:val="bottom"/>
          </w:tcPr>
          <w:p>
            <w:pPr>
              <w:spacing w:after="0"/>
              <w:rPr>
                <w:sz w:val="20"/>
                <w:szCs w:val="20"/>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(105 )</w:t>
            </w:r>
          </w:p>
        </w:tc>
        <w:tc>
          <w:tcPr>
            <w:tcW w:w="60" w:type="dxa"/>
            <w:vAlign w:val="bottom"/>
          </w:tcPr>
          <w:p>
            <w:pPr>
              <w:spacing w:after="0"/>
              <w:rPr>
                <w:sz w:val="20"/>
                <w:szCs w:val="20"/>
                <w:color w:val="auto"/>
              </w:rPr>
            </w:pPr>
          </w:p>
        </w:tc>
      </w:tr>
      <w:tr>
        <w:trPr>
          <w:trHeight w:val="276"/>
        </w:trPr>
        <w:tc>
          <w:tcPr>
            <w:tcW w:w="50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Adjusted EBITDA</w:t>
            </w:r>
          </w:p>
        </w:tc>
        <w:tc>
          <w:tcPr>
            <w:tcW w:w="720" w:type="dxa"/>
            <w:vAlign w:val="bottom"/>
            <w:tcBorders>
              <w:top w:val="single" w:sz="8" w:color="auto"/>
              <w:bottom w:val="single" w:sz="8" w:color="auto"/>
            </w:tcBorders>
            <w:shd w:val="clear" w:color="auto" w:fill="CFF0FC"/>
          </w:tcPr>
          <w:p>
            <w:pPr>
              <w:jc w:val="right"/>
              <w:ind w:right="531"/>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26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22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20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522</w:t>
            </w:r>
          </w:p>
        </w:tc>
        <w:tc>
          <w:tcPr>
            <w:tcW w:w="22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100" w:type="dxa"/>
            <w:vAlign w:val="bottom"/>
            <w:tcBorders>
              <w:bottom w:val="single" w:sz="8" w:color="CFF0FC"/>
            </w:tcBorders>
            <w:shd w:val="clear" w:color="auto" w:fill="CFF0FC"/>
          </w:tcPr>
          <w:p>
            <w:pPr>
              <w:spacing w:after="0"/>
              <w:rPr>
                <w:sz w:val="24"/>
                <w:szCs w:val="24"/>
                <w:color w:val="auto"/>
              </w:rPr>
            </w:pPr>
          </w:p>
        </w:tc>
        <w:tc>
          <w:tcPr>
            <w:tcW w:w="60" w:type="dxa"/>
            <w:vAlign w:val="bottom"/>
          </w:tcPr>
          <w:p>
            <w:pPr>
              <w:spacing w:after="0"/>
              <w:rPr>
                <w:sz w:val="24"/>
                <w:szCs w:val="24"/>
                <w:color w:val="auto"/>
              </w:rPr>
            </w:pPr>
          </w:p>
        </w:tc>
      </w:tr>
      <w:tr>
        <w:trPr>
          <w:trHeight w:val="227"/>
        </w:trPr>
        <w:tc>
          <w:tcPr>
            <w:tcW w:w="50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43"/>
        </w:trPr>
        <w:tc>
          <w:tcPr>
            <w:tcW w:w="5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Adjusted EBITDA %:</w:t>
            </w:r>
          </w:p>
        </w:tc>
        <w:tc>
          <w:tcPr>
            <w:tcW w:w="7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4"/>
        </w:trPr>
        <w:tc>
          <w:tcPr>
            <w:tcW w:w="5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Energy Products and Services</w:t>
            </w:r>
          </w:p>
        </w:tc>
        <w:tc>
          <w:tcPr>
            <w:tcW w:w="720" w:type="dxa"/>
            <w:vAlign w:val="bottom"/>
          </w:tcPr>
          <w:p>
            <w:pPr>
              <w:spacing w:after="0"/>
              <w:rPr>
                <w:sz w:val="20"/>
                <w:szCs w:val="20"/>
                <w:color w:val="auto"/>
              </w:rPr>
            </w:pPr>
          </w:p>
        </w:tc>
        <w:tc>
          <w:tcPr>
            <w:tcW w:w="60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w w:val="97"/>
              </w:rPr>
              <w:t>17.5 %</w:t>
            </w:r>
          </w:p>
        </w:tc>
        <w:tc>
          <w:tcPr>
            <w:tcW w:w="260" w:type="dxa"/>
            <w:vAlign w:val="bottom"/>
          </w:tcPr>
          <w:p>
            <w:pPr>
              <w:spacing w:after="0"/>
              <w:rPr>
                <w:sz w:val="20"/>
                <w:szCs w:val="20"/>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19.2 %</w:t>
            </w:r>
          </w:p>
        </w:tc>
        <w:tc>
          <w:tcPr>
            <w:tcW w:w="140" w:type="dxa"/>
            <w:vAlign w:val="bottom"/>
          </w:tcPr>
          <w:p>
            <w:pPr>
              <w:spacing w:after="0"/>
              <w:rPr>
                <w:sz w:val="20"/>
                <w:szCs w:val="20"/>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17.1 %</w:t>
            </w:r>
          </w:p>
        </w:tc>
        <w:tc>
          <w:tcPr>
            <w:tcW w:w="240" w:type="dxa"/>
            <w:vAlign w:val="bottom"/>
          </w:tcPr>
          <w:p>
            <w:pPr>
              <w:spacing w:after="0"/>
              <w:rPr>
                <w:sz w:val="20"/>
                <w:szCs w:val="20"/>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17.3 %</w:t>
            </w:r>
          </w:p>
        </w:tc>
        <w:tc>
          <w:tcPr>
            <w:tcW w:w="240" w:type="dxa"/>
            <w:vAlign w:val="bottom"/>
          </w:tcPr>
          <w:p>
            <w:pPr>
              <w:spacing w:after="0"/>
              <w:rPr>
                <w:sz w:val="20"/>
                <w:szCs w:val="20"/>
                <w:color w:val="auto"/>
              </w:rPr>
            </w:pP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17.9 %</w:t>
            </w:r>
          </w:p>
        </w:tc>
      </w:tr>
      <w:tr>
        <w:trPr>
          <w:trHeight w:val="238"/>
        </w:trPr>
        <w:tc>
          <w:tcPr>
            <w:tcW w:w="5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Energy Equipment</w:t>
            </w:r>
          </w:p>
        </w:tc>
        <w:tc>
          <w:tcPr>
            <w:tcW w:w="720" w:type="dxa"/>
            <w:vAlign w:val="bottom"/>
          </w:tcPr>
          <w:p>
            <w:pPr>
              <w:spacing w:after="0"/>
              <w:rPr>
                <w:sz w:val="20"/>
                <w:szCs w:val="20"/>
                <w:color w:val="auto"/>
              </w:rPr>
            </w:pPr>
          </w:p>
        </w:tc>
        <w:tc>
          <w:tcPr>
            <w:tcW w:w="60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w w:val="97"/>
              </w:rPr>
              <w:t>11.8 %</w:t>
            </w:r>
          </w:p>
        </w:tc>
        <w:tc>
          <w:tcPr>
            <w:tcW w:w="260" w:type="dxa"/>
            <w:vAlign w:val="bottom"/>
          </w:tcPr>
          <w:p>
            <w:pPr>
              <w:spacing w:after="0"/>
              <w:rPr>
                <w:sz w:val="20"/>
                <w:szCs w:val="20"/>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8.9 %</w:t>
            </w:r>
          </w:p>
        </w:tc>
        <w:tc>
          <w:tcPr>
            <w:tcW w:w="140" w:type="dxa"/>
            <w:vAlign w:val="bottom"/>
          </w:tcPr>
          <w:p>
            <w:pPr>
              <w:spacing w:after="0"/>
              <w:rPr>
                <w:sz w:val="20"/>
                <w:szCs w:val="20"/>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10.1 %</w:t>
            </w:r>
          </w:p>
        </w:tc>
        <w:tc>
          <w:tcPr>
            <w:tcW w:w="240" w:type="dxa"/>
            <w:vAlign w:val="bottom"/>
          </w:tcPr>
          <w:p>
            <w:pPr>
              <w:spacing w:after="0"/>
              <w:rPr>
                <w:sz w:val="20"/>
                <w:szCs w:val="20"/>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11.0 %</w:t>
            </w:r>
          </w:p>
        </w:tc>
        <w:tc>
          <w:tcPr>
            <w:tcW w:w="240" w:type="dxa"/>
            <w:vAlign w:val="bottom"/>
          </w:tcPr>
          <w:p>
            <w:pPr>
              <w:spacing w:after="0"/>
              <w:rPr>
                <w:sz w:val="20"/>
                <w:szCs w:val="20"/>
                <w:color w:val="auto"/>
              </w:rPr>
            </w:pP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8.9 %</w:t>
            </w:r>
          </w:p>
        </w:tc>
      </w:tr>
      <w:tr>
        <w:trPr>
          <w:trHeight w:val="250"/>
        </w:trPr>
        <w:tc>
          <w:tcPr>
            <w:tcW w:w="5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Corporate</w:t>
            </w:r>
          </w:p>
        </w:tc>
        <w:tc>
          <w:tcPr>
            <w:tcW w:w="72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tcPr>
          <w:p>
            <w:pPr>
              <w:spacing w:after="0"/>
              <w:rPr>
                <w:sz w:val="21"/>
                <w:szCs w:val="21"/>
                <w:color w:val="auto"/>
              </w:rPr>
            </w:pPr>
          </w:p>
        </w:tc>
      </w:tr>
      <w:tr>
        <w:trPr>
          <w:trHeight w:val="238"/>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Adjusted EBITDA %</w:t>
            </w:r>
          </w:p>
        </w:tc>
        <w:tc>
          <w:tcPr>
            <w:tcW w:w="720" w:type="dxa"/>
            <w:vAlign w:val="bottom"/>
          </w:tcPr>
          <w:p>
            <w:pPr>
              <w:spacing w:after="0"/>
              <w:rPr>
                <w:sz w:val="20"/>
                <w:szCs w:val="20"/>
                <w:color w:val="auto"/>
              </w:rPr>
            </w:pPr>
          </w:p>
        </w:tc>
        <w:tc>
          <w:tcPr>
            <w:tcW w:w="60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w w:val="97"/>
              </w:rPr>
              <w:t>12.7 %</w:t>
            </w:r>
          </w:p>
        </w:tc>
        <w:tc>
          <w:tcPr>
            <w:tcW w:w="260" w:type="dxa"/>
            <w:vAlign w:val="bottom"/>
          </w:tcPr>
          <w:p>
            <w:pPr>
              <w:spacing w:after="0"/>
              <w:rPr>
                <w:sz w:val="20"/>
                <w:szCs w:val="20"/>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11.7 %</w:t>
            </w:r>
          </w:p>
        </w:tc>
        <w:tc>
          <w:tcPr>
            <w:tcW w:w="140" w:type="dxa"/>
            <w:vAlign w:val="bottom"/>
          </w:tcPr>
          <w:p>
            <w:pPr>
              <w:spacing w:after="0"/>
              <w:rPr>
                <w:sz w:val="20"/>
                <w:szCs w:val="20"/>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11.2 %</w:t>
            </w:r>
          </w:p>
        </w:tc>
        <w:tc>
          <w:tcPr>
            <w:tcW w:w="240" w:type="dxa"/>
            <w:vAlign w:val="bottom"/>
          </w:tcPr>
          <w:p>
            <w:pPr>
              <w:spacing w:after="0"/>
              <w:rPr>
                <w:sz w:val="20"/>
                <w:szCs w:val="20"/>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11.9 %</w:t>
            </w:r>
          </w:p>
        </w:tc>
        <w:tc>
          <w:tcPr>
            <w:tcW w:w="240" w:type="dxa"/>
            <w:vAlign w:val="bottom"/>
          </w:tcPr>
          <w:p>
            <w:pPr>
              <w:spacing w:after="0"/>
              <w:rPr>
                <w:sz w:val="20"/>
                <w:szCs w:val="20"/>
                <w:color w:val="auto"/>
              </w:rPr>
            </w:pP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10.9 %</w:t>
            </w:r>
          </w:p>
        </w:tc>
      </w:tr>
      <w:tr>
        <w:trPr>
          <w:trHeight w:val="20"/>
        </w:trPr>
        <w:tc>
          <w:tcPr>
            <w:tcW w:w="50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60"/>
        </w:trPr>
        <w:tc>
          <w:tcPr>
            <w:tcW w:w="50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243"/>
        </w:trPr>
        <w:tc>
          <w:tcPr>
            <w:tcW w:w="5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Reconciliation of Adjusted EBITDA:</w:t>
            </w:r>
          </w:p>
        </w:tc>
        <w:tc>
          <w:tcPr>
            <w:tcW w:w="7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8"/>
        </w:trPr>
        <w:tc>
          <w:tcPr>
            <w:tcW w:w="5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GAAP net income attributable to Company</w:t>
            </w:r>
          </w:p>
        </w:tc>
        <w:tc>
          <w:tcPr>
            <w:tcW w:w="720" w:type="dxa"/>
            <w:vAlign w:val="bottom"/>
          </w:tcPr>
          <w:p>
            <w:pPr>
              <w:jc w:val="right"/>
              <w:ind w:right="531"/>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26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2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20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22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7"/>
        </w:trPr>
        <w:tc>
          <w:tcPr>
            <w:tcW w:w="50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Noncontrolling interests</w:t>
            </w:r>
          </w:p>
        </w:tc>
        <w:tc>
          <w:tcPr>
            <w:tcW w:w="720" w:type="dxa"/>
            <w:vAlign w:val="bottom"/>
            <w:shd w:val="clear" w:color="auto" w:fill="CFF0FC"/>
          </w:tcPr>
          <w:p>
            <w:pPr>
              <w:spacing w:after="0"/>
              <w:rPr>
                <w:sz w:val="21"/>
                <w:szCs w:val="21"/>
                <w:color w:val="auto"/>
              </w:rPr>
            </w:pPr>
          </w:p>
        </w:tc>
        <w:tc>
          <w:tcPr>
            <w:tcW w:w="600" w:type="dxa"/>
            <w:vAlign w:val="bottom"/>
            <w:gridSpan w:val="2"/>
            <w:shd w:val="clear" w:color="auto" w:fill="CFF0FC"/>
          </w:tcPr>
          <w:p>
            <w:pPr>
              <w:jc w:val="right"/>
              <w:ind w:right="108"/>
              <w:spacing w:after="0"/>
              <w:rPr>
                <w:sz w:val="20"/>
                <w:szCs w:val="20"/>
                <w:color w:val="auto"/>
              </w:rPr>
            </w:pPr>
            <w:r>
              <w:rPr>
                <w:rFonts w:ascii="Times New Roman" w:cs="Times New Roman" w:eastAsia="Times New Roman" w:hAnsi="Times New Roman"/>
                <w:sz w:val="18"/>
                <w:szCs w:val="18"/>
                <w:color w:val="auto"/>
              </w:rPr>
              <w:t>(3 )</w:t>
            </w:r>
          </w:p>
        </w:tc>
        <w:tc>
          <w:tcPr>
            <w:tcW w:w="26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(1 )</w:t>
            </w:r>
          </w:p>
        </w:tc>
        <w:tc>
          <w:tcPr>
            <w:tcW w:w="24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8"/>
        </w:trPr>
        <w:tc>
          <w:tcPr>
            <w:tcW w:w="5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72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7"/>
        </w:trPr>
        <w:tc>
          <w:tcPr>
            <w:tcW w:w="50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Interest expense</w:t>
            </w:r>
          </w:p>
        </w:tc>
        <w:tc>
          <w:tcPr>
            <w:tcW w:w="720" w:type="dxa"/>
            <w:vAlign w:val="bottom"/>
            <w:shd w:val="clear" w:color="auto" w:fill="CFF0FC"/>
          </w:tcPr>
          <w:p>
            <w:pPr>
              <w:spacing w:after="0"/>
              <w:rPr>
                <w:sz w:val="21"/>
                <w:szCs w:val="21"/>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8"/>
        </w:trPr>
        <w:tc>
          <w:tcPr>
            <w:tcW w:w="5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income</w:t>
            </w:r>
          </w:p>
        </w:tc>
        <w:tc>
          <w:tcPr>
            <w:tcW w:w="720" w:type="dxa"/>
            <w:vAlign w:val="bottom"/>
          </w:tcPr>
          <w:p>
            <w:pPr>
              <w:spacing w:after="0"/>
              <w:rPr>
                <w:sz w:val="20"/>
                <w:szCs w:val="20"/>
                <w:color w:val="auto"/>
              </w:rPr>
            </w:pPr>
          </w:p>
        </w:tc>
        <w:tc>
          <w:tcPr>
            <w:tcW w:w="60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color w:val="auto"/>
              </w:rPr>
              <w:t>(8 )</w:t>
            </w:r>
          </w:p>
        </w:tc>
        <w:tc>
          <w:tcPr>
            <w:tcW w:w="260" w:type="dxa"/>
            <w:vAlign w:val="bottom"/>
          </w:tcPr>
          <w:p>
            <w:pPr>
              <w:spacing w:after="0"/>
              <w:rPr>
                <w:sz w:val="20"/>
                <w:szCs w:val="20"/>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(8 )</w:t>
            </w:r>
          </w:p>
        </w:tc>
        <w:tc>
          <w:tcPr>
            <w:tcW w:w="14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(8 )</w:t>
            </w:r>
          </w:p>
        </w:tc>
        <w:tc>
          <w:tcPr>
            <w:tcW w:w="240" w:type="dxa"/>
            <w:vAlign w:val="bottom"/>
          </w:tcPr>
          <w:p>
            <w:pPr>
              <w:spacing w:after="0"/>
              <w:rPr>
                <w:sz w:val="20"/>
                <w:szCs w:val="20"/>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(16 )</w:t>
            </w:r>
          </w:p>
        </w:tc>
        <w:tc>
          <w:tcPr>
            <w:tcW w:w="240" w:type="dxa"/>
            <w:vAlign w:val="bottom"/>
          </w:tcPr>
          <w:p>
            <w:pPr>
              <w:spacing w:after="0"/>
              <w:rPr>
                <w:sz w:val="20"/>
                <w:szCs w:val="20"/>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(16 )</w:t>
            </w:r>
          </w:p>
        </w:tc>
        <w:tc>
          <w:tcPr>
            <w:tcW w:w="60" w:type="dxa"/>
            <w:vAlign w:val="bottom"/>
          </w:tcPr>
          <w:p>
            <w:pPr>
              <w:spacing w:after="0"/>
              <w:rPr>
                <w:sz w:val="20"/>
                <w:szCs w:val="20"/>
                <w:color w:val="auto"/>
              </w:rPr>
            </w:pPr>
          </w:p>
        </w:tc>
      </w:tr>
      <w:tr>
        <w:trPr>
          <w:trHeight w:val="247"/>
        </w:trPr>
        <w:tc>
          <w:tcPr>
            <w:tcW w:w="50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Equity income in unconsolidated affiliates</w:t>
            </w:r>
          </w:p>
        </w:tc>
        <w:tc>
          <w:tcPr>
            <w:tcW w:w="720" w:type="dxa"/>
            <w:vAlign w:val="bottom"/>
            <w:shd w:val="clear" w:color="auto" w:fill="CFF0FC"/>
          </w:tcPr>
          <w:p>
            <w:pPr>
              <w:spacing w:after="0"/>
              <w:rPr>
                <w:sz w:val="21"/>
                <w:szCs w:val="21"/>
                <w:color w:val="auto"/>
              </w:rPr>
            </w:pPr>
          </w:p>
        </w:tc>
        <w:tc>
          <w:tcPr>
            <w:tcW w:w="600" w:type="dxa"/>
            <w:vAlign w:val="bottom"/>
            <w:gridSpan w:val="2"/>
            <w:shd w:val="clear" w:color="auto" w:fill="CFF0FC"/>
          </w:tcPr>
          <w:p>
            <w:pPr>
              <w:jc w:val="right"/>
              <w:ind w:right="108"/>
              <w:spacing w:after="0"/>
              <w:rPr>
                <w:sz w:val="20"/>
                <w:szCs w:val="20"/>
                <w:color w:val="auto"/>
              </w:rPr>
            </w:pPr>
            <w:r>
              <w:rPr>
                <w:rFonts w:ascii="Times New Roman" w:cs="Times New Roman" w:eastAsia="Times New Roman" w:hAnsi="Times New Roman"/>
                <w:sz w:val="18"/>
                <w:szCs w:val="18"/>
                <w:color w:val="auto"/>
              </w:rPr>
              <w:t>(8 )</w:t>
            </w:r>
          </w:p>
        </w:tc>
        <w:tc>
          <w:tcPr>
            <w:tcW w:w="26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(37 )</w:t>
            </w:r>
          </w:p>
        </w:tc>
        <w:tc>
          <w:tcPr>
            <w:tcW w:w="14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(29 )</w:t>
            </w:r>
          </w:p>
        </w:tc>
        <w:tc>
          <w:tcPr>
            <w:tcW w:w="24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(37 )</w:t>
            </w:r>
          </w:p>
        </w:tc>
        <w:tc>
          <w:tcPr>
            <w:tcW w:w="24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(85 )</w:t>
            </w:r>
          </w:p>
        </w:tc>
        <w:tc>
          <w:tcPr>
            <w:tcW w:w="60" w:type="dxa"/>
            <w:vAlign w:val="bottom"/>
          </w:tcPr>
          <w:p>
            <w:pPr>
              <w:spacing w:after="0"/>
              <w:rPr>
                <w:sz w:val="21"/>
                <w:szCs w:val="21"/>
                <w:color w:val="auto"/>
              </w:rPr>
            </w:pPr>
          </w:p>
        </w:tc>
      </w:tr>
      <w:tr>
        <w:trPr>
          <w:trHeight w:val="238"/>
        </w:trPr>
        <w:tc>
          <w:tcPr>
            <w:tcW w:w="5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expense, net</w:t>
            </w:r>
          </w:p>
        </w:tc>
        <w:tc>
          <w:tcPr>
            <w:tcW w:w="72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7"/>
        </w:trPr>
        <w:tc>
          <w:tcPr>
            <w:tcW w:w="50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(Gain)/loss on sales of fixed assets</w:t>
            </w:r>
          </w:p>
        </w:tc>
        <w:tc>
          <w:tcPr>
            <w:tcW w:w="720" w:type="dxa"/>
            <w:vAlign w:val="bottom"/>
            <w:shd w:val="clear" w:color="auto" w:fill="CFF0FC"/>
          </w:tcPr>
          <w:p>
            <w:pPr>
              <w:spacing w:after="0"/>
              <w:rPr>
                <w:sz w:val="21"/>
                <w:szCs w:val="21"/>
                <w:color w:val="auto"/>
              </w:rPr>
            </w:pPr>
          </w:p>
        </w:tc>
        <w:tc>
          <w:tcPr>
            <w:tcW w:w="600" w:type="dxa"/>
            <w:vAlign w:val="bottom"/>
            <w:gridSpan w:val="2"/>
            <w:shd w:val="clear" w:color="auto" w:fill="CFF0FC"/>
          </w:tcPr>
          <w:p>
            <w:pPr>
              <w:jc w:val="right"/>
              <w:ind w:right="188"/>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(1 )</w:t>
            </w:r>
          </w:p>
        </w:tc>
        <w:tc>
          <w:tcPr>
            <w:tcW w:w="24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(1 )</w:t>
            </w:r>
          </w:p>
        </w:tc>
        <w:tc>
          <w:tcPr>
            <w:tcW w:w="24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(4 )</w:t>
            </w:r>
          </w:p>
        </w:tc>
        <w:tc>
          <w:tcPr>
            <w:tcW w:w="60" w:type="dxa"/>
            <w:vAlign w:val="bottom"/>
          </w:tcPr>
          <w:p>
            <w:pPr>
              <w:spacing w:after="0"/>
              <w:rPr>
                <w:sz w:val="21"/>
                <w:szCs w:val="21"/>
                <w:color w:val="auto"/>
              </w:rPr>
            </w:pPr>
          </w:p>
        </w:tc>
      </w:tr>
      <w:tr>
        <w:trPr>
          <w:trHeight w:val="238"/>
        </w:trPr>
        <w:tc>
          <w:tcPr>
            <w:tcW w:w="5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72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3"/>
        </w:trPr>
        <w:tc>
          <w:tcPr>
            <w:tcW w:w="50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items, net</w:t>
            </w:r>
          </w:p>
        </w:tc>
        <w:tc>
          <w:tcPr>
            <w:tcW w:w="720" w:type="dxa"/>
            <w:vAlign w:val="bottom"/>
            <w:shd w:val="clear" w:color="auto" w:fill="CFF0FC"/>
          </w:tcPr>
          <w:p>
            <w:pPr>
              <w:spacing w:after="0"/>
              <w:rPr>
                <w:sz w:val="21"/>
                <w:szCs w:val="21"/>
                <w:color w:val="auto"/>
              </w:rPr>
            </w:pPr>
          </w:p>
        </w:tc>
        <w:tc>
          <w:tcPr>
            <w:tcW w:w="600" w:type="dxa"/>
            <w:vAlign w:val="bottom"/>
            <w:gridSpan w:val="2"/>
            <w:shd w:val="clear" w:color="auto" w:fill="CFF0FC"/>
          </w:tcPr>
          <w:p>
            <w:pPr>
              <w:jc w:val="right"/>
              <w:ind w:right="108"/>
              <w:spacing w:after="0"/>
              <w:rPr>
                <w:sz w:val="20"/>
                <w:szCs w:val="20"/>
                <w:color w:val="auto"/>
              </w:rPr>
            </w:pPr>
            <w:r>
              <w:rPr>
                <w:rFonts w:ascii="Times New Roman" w:cs="Times New Roman" w:eastAsia="Times New Roman" w:hAnsi="Times New Roman"/>
                <w:sz w:val="18"/>
                <w:szCs w:val="18"/>
                <w:color w:val="auto"/>
                <w:w w:val="91"/>
              </w:rPr>
              <w:t>(118 )</w:t>
            </w:r>
          </w:p>
        </w:tc>
        <w:tc>
          <w:tcPr>
            <w:tcW w:w="26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(7 )</w:t>
            </w:r>
          </w:p>
        </w:tc>
        <w:tc>
          <w:tcPr>
            <w:tcW w:w="14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(3 )</w:t>
            </w:r>
          </w:p>
        </w:tc>
        <w:tc>
          <w:tcPr>
            <w:tcW w:w="24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(121 )</w:t>
            </w:r>
          </w:p>
        </w:tc>
        <w:tc>
          <w:tcPr>
            <w:tcW w:w="24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(11 )</w:t>
            </w:r>
          </w:p>
        </w:tc>
        <w:tc>
          <w:tcPr>
            <w:tcW w:w="60" w:type="dxa"/>
            <w:vAlign w:val="bottom"/>
          </w:tcPr>
          <w:p>
            <w:pPr>
              <w:spacing w:after="0"/>
              <w:rPr>
                <w:sz w:val="21"/>
                <w:szCs w:val="21"/>
                <w:color w:val="auto"/>
              </w:rPr>
            </w:pPr>
          </w:p>
        </w:tc>
      </w:tr>
      <w:tr>
        <w:trPr>
          <w:trHeight w:val="236"/>
        </w:trPr>
        <w:tc>
          <w:tcPr>
            <w:tcW w:w="50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Total Adjusted EBITDA</w:t>
            </w:r>
          </w:p>
        </w:tc>
        <w:tc>
          <w:tcPr>
            <w:tcW w:w="720" w:type="dxa"/>
            <w:vAlign w:val="bottom"/>
            <w:tcBorders>
              <w:top w:val="single" w:sz="8" w:color="auto"/>
              <w:bottom w:val="single" w:sz="8" w:color="auto"/>
            </w:tcBorders>
          </w:tcPr>
          <w:p>
            <w:pPr>
              <w:jc w:val="right"/>
              <w:ind w:right="531"/>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260" w:type="dxa"/>
            <w:vAlign w:val="bottom"/>
            <w:tcBorders>
              <w:top w:val="single" w:sz="8" w:color="CFF0FC"/>
            </w:tcBorders>
          </w:tcPr>
          <w:p>
            <w:pPr>
              <w:spacing w:after="0"/>
              <w:rPr>
                <w:sz w:val="20"/>
                <w:szCs w:val="20"/>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220" w:type="dxa"/>
            <w:vAlign w:val="bottom"/>
            <w:tcBorders>
              <w:top w:val="single" w:sz="8" w:color="CFF0FC"/>
            </w:tcBorders>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200" w:type="dxa"/>
            <w:vAlign w:val="bottom"/>
            <w:tcBorders>
              <w:top w:val="single" w:sz="8" w:color="CFF0FC"/>
            </w:tcBorders>
          </w:tcPr>
          <w:p>
            <w:pPr>
              <w:spacing w:after="0"/>
              <w:rPr>
                <w:sz w:val="20"/>
                <w:szCs w:val="20"/>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522</w:t>
            </w:r>
          </w:p>
        </w:tc>
        <w:tc>
          <w:tcPr>
            <w:tcW w:w="220" w:type="dxa"/>
            <w:vAlign w:val="bottom"/>
            <w:tcBorders>
              <w:top w:val="single" w:sz="8" w:color="CFF0FC"/>
            </w:tcBorders>
          </w:tcPr>
          <w:p>
            <w:pPr>
              <w:spacing w:after="0"/>
              <w:rPr>
                <w:sz w:val="20"/>
                <w:szCs w:val="20"/>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100" w:type="dxa"/>
            <w:vAlign w:val="bottom"/>
            <w:tcBorders>
              <w:top w:val="single" w:sz="8" w:color="CFF0FC"/>
            </w:tcBorders>
          </w:tcPr>
          <w:p>
            <w:pPr>
              <w:spacing w:after="0"/>
              <w:rPr>
                <w:sz w:val="20"/>
                <w:szCs w:val="20"/>
                <w:color w:val="auto"/>
              </w:rPr>
            </w:pPr>
          </w:p>
        </w:tc>
        <w:tc>
          <w:tcPr>
            <w:tcW w:w="60" w:type="dxa"/>
            <w:vAlign w:val="bottom"/>
          </w:tcPr>
          <w:p>
            <w:pPr>
              <w:spacing w:after="0"/>
              <w:rPr>
                <w:sz w:val="20"/>
                <w:szCs w:val="20"/>
                <w:color w:val="auto"/>
              </w:rPr>
            </w:pPr>
          </w:p>
        </w:tc>
      </w:tr>
      <w:tr>
        <w:trPr>
          <w:trHeight w:val="20"/>
        </w:trPr>
        <w:tc>
          <w:tcPr>
            <w:tcW w:w="50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632"/>
        </w:trPr>
        <w:tc>
          <w:tcPr>
            <w:tcW w:w="50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-7526020</wp:posOffset>
            </wp:positionV>
            <wp:extent cx="7132320" cy="15430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-2901950</wp:posOffset>
            </wp:positionV>
            <wp:extent cx="7132320" cy="15430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3866515</wp:posOffset>
            </wp:positionH>
            <wp:positionV relativeFrom="paragraph">
              <wp:posOffset>-7971155</wp:posOffset>
            </wp:positionV>
            <wp:extent cx="76835"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3866515</wp:posOffset>
            </wp:positionH>
            <wp:positionV relativeFrom="paragraph">
              <wp:posOffset>-7954010</wp:posOffset>
            </wp:positionV>
            <wp:extent cx="76835"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4697095</wp:posOffset>
            </wp:positionH>
            <wp:positionV relativeFrom="paragraph">
              <wp:posOffset>-7971155</wp:posOffset>
            </wp:positionV>
            <wp:extent cx="68580"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4697095</wp:posOffset>
            </wp:positionH>
            <wp:positionV relativeFrom="paragraph">
              <wp:posOffset>-7954010</wp:posOffset>
            </wp:positionV>
            <wp:extent cx="68580"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5493385</wp:posOffset>
            </wp:positionH>
            <wp:positionV relativeFrom="paragraph">
              <wp:posOffset>-7971155</wp:posOffset>
            </wp:positionV>
            <wp:extent cx="68580"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5493385</wp:posOffset>
            </wp:positionH>
            <wp:positionV relativeFrom="paragraph">
              <wp:posOffset>-7954010</wp:posOffset>
            </wp:positionV>
            <wp:extent cx="68580"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6289675</wp:posOffset>
            </wp:positionH>
            <wp:positionV relativeFrom="paragraph">
              <wp:posOffset>-7971155</wp:posOffset>
            </wp:positionV>
            <wp:extent cx="68580"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6289675</wp:posOffset>
            </wp:positionH>
            <wp:positionV relativeFrom="paragraph">
              <wp:posOffset>-7954010</wp:posOffset>
            </wp:positionV>
            <wp:extent cx="68580"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-7971155</wp:posOffset>
            </wp:positionV>
            <wp:extent cx="68580"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-7954010</wp:posOffset>
            </wp:positionV>
            <wp:extent cx="68580"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-7209155</wp:posOffset>
            </wp:positionV>
            <wp:extent cx="7132320" cy="17970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32320" cy="179705"/>
                    </a:xfrm>
                    <a:prstGeom prst="rect">
                      <a:avLst/>
                    </a:prstGeom>
                    <a:noFill/>
                  </pic:spPr>
                </pic:pic>
              </a:graphicData>
            </a:graphic>
          </wp:anchor>
        </w:drawing>
        <w:drawing>
          <wp:anchor simplePos="0" relativeHeight="251657728" behindDoc="1" locked="0" layoutInCell="0" allowOverlap="1">
            <wp:simplePos x="0" y="0"/>
            <wp:positionH relativeFrom="column">
              <wp:posOffset>3866515</wp:posOffset>
            </wp:positionH>
            <wp:positionV relativeFrom="paragraph">
              <wp:posOffset>-6138545</wp:posOffset>
            </wp:positionV>
            <wp:extent cx="76835"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3866515</wp:posOffset>
            </wp:positionH>
            <wp:positionV relativeFrom="paragraph">
              <wp:posOffset>-6121400</wp:posOffset>
            </wp:positionV>
            <wp:extent cx="76835"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4697095</wp:posOffset>
            </wp:positionH>
            <wp:positionV relativeFrom="paragraph">
              <wp:posOffset>-6138545</wp:posOffset>
            </wp:positionV>
            <wp:extent cx="68580"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4697095</wp:posOffset>
            </wp:positionH>
            <wp:positionV relativeFrom="paragraph">
              <wp:posOffset>-6121400</wp:posOffset>
            </wp:positionV>
            <wp:extent cx="68580"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5493385</wp:posOffset>
            </wp:positionH>
            <wp:positionV relativeFrom="paragraph">
              <wp:posOffset>-6138545</wp:posOffset>
            </wp:positionV>
            <wp:extent cx="68580"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5493385</wp:posOffset>
            </wp:positionH>
            <wp:positionV relativeFrom="paragraph">
              <wp:posOffset>-6121400</wp:posOffset>
            </wp:positionV>
            <wp:extent cx="68580"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6289675</wp:posOffset>
            </wp:positionH>
            <wp:positionV relativeFrom="paragraph">
              <wp:posOffset>-6138545</wp:posOffset>
            </wp:positionV>
            <wp:extent cx="68580"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6289675</wp:posOffset>
            </wp:positionH>
            <wp:positionV relativeFrom="paragraph">
              <wp:posOffset>-6121400</wp:posOffset>
            </wp:positionV>
            <wp:extent cx="68580"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-6138545</wp:posOffset>
            </wp:positionV>
            <wp:extent cx="68580"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-6121400</wp:posOffset>
            </wp:positionV>
            <wp:extent cx="68580"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3866515</wp:posOffset>
            </wp:positionH>
            <wp:positionV relativeFrom="paragraph">
              <wp:posOffset>-5222240</wp:posOffset>
            </wp:positionV>
            <wp:extent cx="76835"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3866515</wp:posOffset>
            </wp:positionH>
            <wp:positionV relativeFrom="paragraph">
              <wp:posOffset>-5205095</wp:posOffset>
            </wp:positionV>
            <wp:extent cx="76835"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4697095</wp:posOffset>
            </wp:positionH>
            <wp:positionV relativeFrom="paragraph">
              <wp:posOffset>-5222240</wp:posOffset>
            </wp:positionV>
            <wp:extent cx="68580"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4697095</wp:posOffset>
            </wp:positionH>
            <wp:positionV relativeFrom="paragraph">
              <wp:posOffset>-5205095</wp:posOffset>
            </wp:positionV>
            <wp:extent cx="68580"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5493385</wp:posOffset>
            </wp:positionH>
            <wp:positionV relativeFrom="paragraph">
              <wp:posOffset>-5222240</wp:posOffset>
            </wp:positionV>
            <wp:extent cx="68580"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5493385</wp:posOffset>
            </wp:positionH>
            <wp:positionV relativeFrom="paragraph">
              <wp:posOffset>-5205095</wp:posOffset>
            </wp:positionV>
            <wp:extent cx="68580"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6289675</wp:posOffset>
            </wp:positionH>
            <wp:positionV relativeFrom="paragraph">
              <wp:posOffset>-5222240</wp:posOffset>
            </wp:positionV>
            <wp:extent cx="68580"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6289675</wp:posOffset>
            </wp:positionH>
            <wp:positionV relativeFrom="paragraph">
              <wp:posOffset>-5205095</wp:posOffset>
            </wp:positionV>
            <wp:extent cx="68580"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-5222240</wp:posOffset>
            </wp:positionV>
            <wp:extent cx="68580"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-5205095</wp:posOffset>
            </wp:positionV>
            <wp:extent cx="68580"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3866515</wp:posOffset>
            </wp:positionH>
            <wp:positionV relativeFrom="paragraph">
              <wp:posOffset>-4306570</wp:posOffset>
            </wp:positionV>
            <wp:extent cx="76835"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3866515</wp:posOffset>
            </wp:positionH>
            <wp:positionV relativeFrom="paragraph">
              <wp:posOffset>-4289425</wp:posOffset>
            </wp:positionV>
            <wp:extent cx="76835"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4697095</wp:posOffset>
            </wp:positionH>
            <wp:positionV relativeFrom="paragraph">
              <wp:posOffset>-4306570</wp:posOffset>
            </wp:positionV>
            <wp:extent cx="68580"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4697095</wp:posOffset>
            </wp:positionH>
            <wp:positionV relativeFrom="paragraph">
              <wp:posOffset>-4289425</wp:posOffset>
            </wp:positionV>
            <wp:extent cx="68580"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5493385</wp:posOffset>
            </wp:positionH>
            <wp:positionV relativeFrom="paragraph">
              <wp:posOffset>-4306570</wp:posOffset>
            </wp:positionV>
            <wp:extent cx="68580"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5493385</wp:posOffset>
            </wp:positionH>
            <wp:positionV relativeFrom="paragraph">
              <wp:posOffset>-4289425</wp:posOffset>
            </wp:positionV>
            <wp:extent cx="68580"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6289675</wp:posOffset>
            </wp:positionH>
            <wp:positionV relativeFrom="paragraph">
              <wp:posOffset>-4306570</wp:posOffset>
            </wp:positionV>
            <wp:extent cx="68580"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6289675</wp:posOffset>
            </wp:positionH>
            <wp:positionV relativeFrom="paragraph">
              <wp:posOffset>-4289425</wp:posOffset>
            </wp:positionV>
            <wp:extent cx="68580"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-4306570</wp:posOffset>
            </wp:positionV>
            <wp:extent cx="68580"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-4289425</wp:posOffset>
            </wp:positionV>
            <wp:extent cx="68580"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3866515</wp:posOffset>
            </wp:positionH>
            <wp:positionV relativeFrom="paragraph">
              <wp:posOffset>-3390265</wp:posOffset>
            </wp:positionV>
            <wp:extent cx="76835"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3866515</wp:posOffset>
            </wp:positionH>
            <wp:positionV relativeFrom="paragraph">
              <wp:posOffset>-3373120</wp:posOffset>
            </wp:positionV>
            <wp:extent cx="76835"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4697095</wp:posOffset>
            </wp:positionH>
            <wp:positionV relativeFrom="paragraph">
              <wp:posOffset>-3390265</wp:posOffset>
            </wp:positionV>
            <wp:extent cx="68580"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4697095</wp:posOffset>
            </wp:positionH>
            <wp:positionV relativeFrom="paragraph">
              <wp:posOffset>-3373120</wp:posOffset>
            </wp:positionV>
            <wp:extent cx="68580"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5493385</wp:posOffset>
            </wp:positionH>
            <wp:positionV relativeFrom="paragraph">
              <wp:posOffset>-3390265</wp:posOffset>
            </wp:positionV>
            <wp:extent cx="68580"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5493385</wp:posOffset>
            </wp:positionH>
            <wp:positionV relativeFrom="paragraph">
              <wp:posOffset>-3373120</wp:posOffset>
            </wp:positionV>
            <wp:extent cx="68580"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6289675</wp:posOffset>
            </wp:positionH>
            <wp:positionV relativeFrom="paragraph">
              <wp:posOffset>-3390265</wp:posOffset>
            </wp:positionV>
            <wp:extent cx="68580"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6289675</wp:posOffset>
            </wp:positionH>
            <wp:positionV relativeFrom="paragraph">
              <wp:posOffset>-3373120</wp:posOffset>
            </wp:positionV>
            <wp:extent cx="68580"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-3390265</wp:posOffset>
            </wp:positionV>
            <wp:extent cx="68580"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-3373120</wp:posOffset>
            </wp:positionV>
            <wp:extent cx="68580"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-2585085</wp:posOffset>
            </wp:positionV>
            <wp:extent cx="7132320" cy="17970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132320" cy="179705"/>
                    </a:xfrm>
                    <a:prstGeom prst="rect">
                      <a:avLst/>
                    </a:prstGeom>
                    <a:noFill/>
                  </pic:spPr>
                </pic:pic>
              </a:graphicData>
            </a:graphic>
          </wp:anchor>
        </w:drawing>
        <w:drawing>
          <wp:anchor simplePos="0" relativeHeight="251657728" behindDoc="1" locked="0" layoutInCell="0" allowOverlap="1">
            <wp:simplePos x="0" y="0"/>
            <wp:positionH relativeFrom="column">
              <wp:posOffset>3866515</wp:posOffset>
            </wp:positionH>
            <wp:positionV relativeFrom="paragraph">
              <wp:posOffset>-598805</wp:posOffset>
            </wp:positionV>
            <wp:extent cx="76835"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4697095</wp:posOffset>
            </wp:positionH>
            <wp:positionV relativeFrom="paragraph">
              <wp:posOffset>-598805</wp:posOffset>
            </wp:positionV>
            <wp:extent cx="68580"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5493385</wp:posOffset>
            </wp:positionH>
            <wp:positionV relativeFrom="paragraph">
              <wp:posOffset>-598805</wp:posOffset>
            </wp:positionV>
            <wp:extent cx="68580"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6289675</wp:posOffset>
            </wp:positionH>
            <wp:positionV relativeFrom="paragraph">
              <wp:posOffset>-598805</wp:posOffset>
            </wp:positionV>
            <wp:extent cx="68580"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-598805</wp:posOffset>
            </wp:positionV>
            <wp:extent cx="68580"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466725</wp:posOffset>
            </wp:positionV>
            <wp:extent cx="7157720" cy="425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890" w:right="279" w:bottom="587"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Overview</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At June 30, 2024, the Company had cash and cash equivalents of $827 million and total debt of $1,748 million. At December 31, 2023, cash and cash equivalents were $816 million and total debt was $1,725 million. As of June 30, 2024, approximately $533 million of the $827 million of cash and cash equivalents was held by our foreign subsidiaries and the earnings associated with this cash could be subject to foreign withholding taxes and incremental U.S. taxation if transferred among countries or repatriated to the U.S. If opportunities to invest in the U.S. are greater than available cash balances that are not subject to income tax, rather than repatriating cash, the Company may choose to borrow against its revolving credit facility.</w:t>
      </w:r>
    </w:p>
    <w:p>
      <w:pPr>
        <w:spacing w:after="0" w:line="7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has a revolving credit facility with a borrowing capacity of $2.0 billion through October 30, 2024, and a borrowing capacity of $1.8 billion from October 31, 2024, to October 30, 2025. The Company has the right to increase the commitments under this agreement to an aggregate amount of up to $3.0 billion upon the consent of only those lenders holding any such increase. Interest under the multicurrency facility is based upon SOFR, NIBOR or CDOR plus 1.25% subject to a ratings-based grid or the U.S. prime rate. The credit facility contains a financial covenant regarding maximum debt-to-capitalization ratio of 60%. As of June 30, 2024, the Company was in compliance with a debt-to-capitalization ratio of 23.6% and had no borrowings or letters of credits issued under the facility, resulting in $2.0 billion of available funds.</w:t>
      </w:r>
    </w:p>
    <w:p>
      <w:pPr>
        <w:spacing w:after="0" w:line="7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Additionally, a consolidated joint venture of the Company borrowed $120 million against a $150 million bank line of credit for the construction of a facility in Saudi Arabia. Interest under the bank line of credit is based upon SOFR plus 1.40%. The bank line of credit contains a financial covenant regarding maximum debt-to-equity ratio of 75%. As of June 30, 2024, the joint venture was in compliance. The facility construction was completed in the fourth quarter of 2022, and the joint venture will not have future borrowings on the line of credit. The line of credit repayment schedule began in December 2022 with final payment no later than June 2032. As of June 30, 2024, the Company had $99 million in borrowings related to this line of credit. The Company has $11 million in payments related to this line of credit due in the next twelve months.</w:t>
      </w:r>
    </w:p>
    <w:p>
      <w:pPr>
        <w:spacing w:after="0" w:line="78"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The Company’s outstanding debt at June 30, 2024 consisted of $1,091 million in 3.95% Senior Notes, $496 million in 3.60% Senior Notes, and other debt of $161 million. The Company was in compliance with all covenants at June 30, 2024. Long-term lease liabilities totaled $553 million at June 30, 2024.</w:t>
      </w:r>
    </w:p>
    <w:p>
      <w:pPr>
        <w:spacing w:after="0" w:line="55"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The Company had $457 million of outstanding letters of credit at June 30, 2024, primarily in Norway and the United States, that are under various bilateral letter of credit facilities. Letters of credit are issued as bid bonds, advanced payment bonds and performance bonds.</w:t>
      </w:r>
    </w:p>
    <w:p>
      <w:pPr>
        <w:spacing w:after="0" w:line="55"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The following table summarizes our net cash provided by (used in) continuing operating activities, continuing investing activities and continuing financing activities for the periods presented (in millions):</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7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38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7"/>
        </w:trPr>
        <w:tc>
          <w:tcPr>
            <w:tcW w:w="772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720" w:type="dxa"/>
            <w:vAlign w:val="bottom"/>
          </w:tcPr>
          <w:p>
            <w:pPr>
              <w:spacing w:after="0"/>
              <w:rPr>
                <w:sz w:val="14"/>
                <w:szCs w:val="14"/>
                <w:color w:val="auto"/>
              </w:rPr>
            </w:pPr>
          </w:p>
        </w:tc>
        <w:tc>
          <w:tcPr>
            <w:tcW w:w="10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23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1020" w:type="dxa"/>
            <w:vAlign w:val="bottom"/>
            <w:shd w:val="clear" w:color="auto" w:fill="CFF0FC"/>
          </w:tcPr>
          <w:p>
            <w:pPr>
              <w:jc w:val="right"/>
              <w:ind w:right="839"/>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320" w:type="dxa"/>
            <w:vAlign w:val="bottom"/>
            <w:shd w:val="clear" w:color="auto" w:fill="CFF0FC"/>
          </w:tcPr>
          <w:p>
            <w:pPr>
              <w:spacing w:after="0"/>
              <w:rPr>
                <w:sz w:val="20"/>
                <w:szCs w:val="20"/>
                <w:color w:val="auto"/>
              </w:rPr>
            </w:pPr>
          </w:p>
        </w:tc>
        <w:tc>
          <w:tcPr>
            <w:tcW w:w="520" w:type="dxa"/>
            <w:vAlign w:val="bottom"/>
            <w:shd w:val="clear" w:color="auto" w:fill="CFF0FC"/>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(274 )</w:t>
            </w:r>
          </w:p>
        </w:tc>
      </w:tr>
      <w:tr>
        <w:trPr>
          <w:trHeight w:val="238"/>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020" w:type="dxa"/>
            <w:vAlign w:val="bottom"/>
          </w:tcPr>
          <w:p>
            <w:pPr>
              <w:spacing w:after="0"/>
              <w:rPr>
                <w:sz w:val="20"/>
                <w:szCs w:val="20"/>
                <w:color w:val="auto"/>
              </w:rPr>
            </w:pP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(226 )</w:t>
            </w:r>
          </w:p>
        </w:tc>
        <w:tc>
          <w:tcPr>
            <w:tcW w:w="520" w:type="dxa"/>
            <w:vAlign w:val="bottom"/>
          </w:tcPr>
          <w:p>
            <w:pPr>
              <w:spacing w:after="0"/>
              <w:rPr>
                <w:sz w:val="20"/>
                <w:szCs w:val="20"/>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(128 )</w:t>
            </w:r>
          </w:p>
        </w:tc>
      </w:tr>
      <w:tr>
        <w:trPr>
          <w:trHeight w:val="24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020" w:type="dxa"/>
            <w:vAlign w:val="bottom"/>
            <w:shd w:val="clear" w:color="auto" w:fill="CFF0FC"/>
          </w:tcPr>
          <w:p>
            <w:pPr>
              <w:spacing w:after="0"/>
              <w:rPr>
                <w:sz w:val="21"/>
                <w:szCs w:val="21"/>
                <w:color w:val="auto"/>
              </w:rPr>
            </w:pPr>
          </w:p>
        </w:tc>
        <w:tc>
          <w:tcPr>
            <w:tcW w:w="8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(113 )</w:t>
            </w:r>
          </w:p>
        </w:tc>
        <w:tc>
          <w:tcPr>
            <w:tcW w:w="52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(73 )</w:t>
            </w:r>
          </w:p>
        </w:tc>
      </w:tr>
    </w:tbl>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Significant uses of cash during the first six months of 2024</w:t>
      </w:r>
    </w:p>
    <w:p>
      <w:pPr>
        <w:spacing w:after="0" w:line="119" w:lineRule="exact"/>
        <w:rPr>
          <w:sz w:val="20"/>
          <w:szCs w:val="20"/>
          <w:color w:val="auto"/>
        </w:rPr>
      </w:pPr>
    </w:p>
    <w:p>
      <w:pPr>
        <w:ind w:left="760" w:hanging="378"/>
        <w:spacing w:after="0" w:line="281" w:lineRule="auto"/>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flows provided by operating activities were $354 million, primarily driven by changes in the primary components of our working capital (receivables, inventories, accounts payable, and accrued liabilities).</w:t>
      </w:r>
    </w:p>
    <w:p>
      <w:pPr>
        <w:spacing w:after="0" w:line="5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expenditures were $151 million.</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acquisitions, net of cash, were $252 million.</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of $50 million in dividends to our shareholders.</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 repurchases were $37 million.</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w:t>
      </w:r>
    </w:p>
    <w:p>
      <w:pPr>
        <w:spacing w:after="0" w:line="119"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18"/>
          <w:szCs w:val="18"/>
          <w:color w:val="auto"/>
        </w:rPr>
        <w:t>The effect of the change in exchange rates on cash flows was a decrease of $4 million for the first six months of 2024, and a decrease of $2 million for the first six months of 2023.</w:t>
      </w:r>
    </w:p>
    <w:p>
      <w:pPr>
        <w:spacing w:after="0" w:line="55"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We believe that cash on hand, cash generated from operations and amounts available under our credit facilities and from other sources of debt will be sufficient to fund operations, lease payments, working capital needs, capital expenditure requirements, dividends and financing obligations.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28" w:name="page29"/>
    <w:bookmarkEnd w:id="28"/>
    <w:p>
      <w:pPr>
        <w:jc w:val="both"/>
        <w:spacing w:after="0" w:line="260" w:lineRule="auto"/>
        <w:rPr>
          <w:sz w:val="20"/>
          <w:szCs w:val="20"/>
          <w:color w:val="auto"/>
        </w:rPr>
      </w:pPr>
      <w:r>
        <w:rPr>
          <w:rFonts w:ascii="Times New Roman" w:cs="Times New Roman" w:eastAsia="Times New Roman" w:hAnsi="Times New Roman"/>
          <w:sz w:val="18"/>
          <w:szCs w:val="18"/>
          <w:color w:val="auto"/>
        </w:rPr>
        <w:t>NOV repurchased 2.0 million shares of common stock at an average price of $18.50 per share and also increased its base dividend by 50 percent during the second quarter. The Company expects to return at least 50% of Excess Free Cash Flow (defined as cash flow from operations less capital expenditures and other investments, including acquisitions), through a combination of steady, quarterly base dividends, opportunistic stock buybacks, and an annual supplemental dividend to true-up returns to shareholders on an annual basis.</w:t>
      </w:r>
    </w:p>
    <w:p>
      <w:pPr>
        <w:spacing w:after="0" w:line="74"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We may pursue additional acquisition candidates, but the timing, size or success of any acquisition effort and the related potential capital commitments cannot be predicted. We continue to expect to fund future cash acquisitions primarily with cash flow from operations and borrowings, including the unborrowed portion of the revolving credit facility or new debt issuances, but may also issue additional equity either directly or in connection with acquisitions. There can be no assurance that additional financing for acquisitions will be available at terms acceptable to us.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Private Securities Litigation Reform Act of 1995 provides safe harbor provisions for forward-looking information. Some of the information in this document contains, or has incorporated by reference, forward-looking statements. Statements that are not historical facts, including statements about our beliefs and expectations, are forward-looking statements. Forward-looking statements typically are identified by use of terms such as “may,” “believe,” “plan,” “will,” “expect,” “anticipate,” “estimate,” “should,” “forecast,” and similar words, although some forward-looking statements are expressed differently. We may also provide oral or written forward-looking information in other materials we release to the public. Forward-looking information involves risk and uncertainties and reflects our best judgment based on current information. You should be aware that our actual results could differ materially from results anticipated in the forward-looking statements due to a number of factors, including but not limited to changes in oil and gas prices, customer demand for our products and worldwide economic activity, including matters related to recent Russian sanctions. Given these uncertainties, current or prospective investors are cautioned not to place undue reliance on any such forward-looking statements. We undertake no obligation to update any such factors or forward-looking statements to reflect future events or developments. You should also consider carefully the statements under “Risk Factors,” as disclosed in our Annual Report on Form 10-K for the year-end December 31, 2023, as updated in Part II, Item 1A of our Quarterly Reports on Form 10-Q, which address additional factors that could cause our actual results to differ from those set forth in the forward-looking statements, and additional disclosures we make in our press releases and Forms 10-Q, and 8-K. We also suggest that you listen to our quarterly earnings release conference calls with financial analysts.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exposed to changes in foreign currency exchange rates and interest rates. Additional information concerning each of these matters follows: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Currency Exchange Rates</w:t>
      </w:r>
    </w:p>
    <w:p>
      <w:pPr>
        <w:spacing w:after="0" w:line="1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extensive operations in foreign countries. The net assets and liabilities of these operations are exposed to changes in foreign currency exchange rates, although such fluctuations have a muted effect on net income since the functional currency for the majority of them is the local currency. These operations also have net assets and liabilities not denominated in the functional currency, which exposes us to changes in foreign currency exchange rates that impact income. We recorded a foreign exchange loss in our income statement of $17 million in the first six months of 2024, compared to a $35 million foreign exchange loss in the same period of the prior year. Gains and losses are primarily due to exchange rate fluctuations related to monetary asset balances denominated in currencies other than the functional currency and adjustments to our hedged positions as a result of changes in foreign currency exchange rates. Currency exchange rate fluctuations may create losses in future periods to the extent we maintain net monetary assets and liabilities not denominated in the functional currency of the NOV operation.</w:t>
      </w:r>
    </w:p>
    <w:p>
      <w:pPr>
        <w:spacing w:after="0" w:line="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Some of our revenues in foreign countries are denominated in U.S. dollars, and therefore, changes in foreign currency exchange rates impact our earnings to the extent that costs associated with those U.S. dollar revenues are denominated in the local currency. Similarly, some of our revenues are denominated in foreign currencies, but have associated U.S. dollar costs, which also give rise to foreign currency exchange rate exposure. In order to mitigate that risk, we may utilize foreign currency forward contracts to better match the currency of our revenues and associated costs. We do not use foreign currency forward contracts for trading or speculative purposes.</w:t>
      </w:r>
    </w:p>
    <w:p>
      <w:pPr>
        <w:spacing w:after="0" w:line="7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Company had other financial market risk sensitive instruments (cash balances, overdraft facilities, accounts receivable and accounts payable) denominated in foreign currencies with transactional exposures totaling $439 million and translation exposures totaling $333 million as of June 30, 2024. The Company estimates that a hypothetical 10% movement of all applicable foreign currency exchange rates on the transactional exposures could affect net income by $35 million and the translational exposures could affect Other Comprehensive Income by $33 million.</w:t>
      </w:r>
    </w:p>
    <w:p>
      <w:pPr>
        <w:spacing w:after="0" w:line="7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The counterparties to forward contracts are major financial institutions. The credit ratings and concentration of risk of these financial institutions are monitored on a continuing basis. Because these contracts are net-settled the Company’s credit risk with the counterparties is limited to the foreign currency rate differential at the end of the contract.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 Risk</w:t>
      </w:r>
    </w:p>
    <w:p>
      <w:pPr>
        <w:spacing w:after="0" w:line="1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At June 30, 2024, borrowings consisted of $1,091 million in 3.95% Senior Notes, $496 million in 3.60% Senior Notes, and other debt of $161 million. At June 30, 2024, there were no outstanding letters of credit issued under the Company's revolving credit facility, resulting in $2.0 billion of available funds. Additionally, the Company’s joint venture has a $150 million bank line of credit for the construction of a facility in Saudi Arabia. Interest under the bank line of credit is based upon SOFR plus 1.40%. Occasionally a portion of borrowings under our credit facility could be denominated in multiple currencies which could expose us to market risk with exchange rate movements. These instruments carry interest at a pre-agreed upon percentage point spread from either SOFR, NIBOR or CDOR, or at the U.S. prime rate. Under our credit facility, we may, at our option, fix the interest rate for certain borrowings based on a spread over SOFR, NIBOR or CDOR for one month to six months. Our objective is to maintain a portion of our debt in variable rate borrowings for the flexibility obtained regarding early repayment without penalties and lower overall cost as compared with fixed-rate borrowings.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of the end of the period covered by this report, we carried out an evaluation, under the supervision and with the participation of the Company’s management, including the Company’s Chief Executive Officer and Chief Financial Officer, of the effectiveness of the design and operation of the Company’s disclosure controls and procedures. The Company’s disclosure controls and procedures are designed to provide reasonable assurance that the information required to be disclosed by the Company in the reports it files under the Exchange Act is accumulated and communicated to the Company’s management, including the Company’s Chief Executive Officer and Chief Financial Officer, as appropriate, to allow timely decisions regarding required disclosures and is recorded, processed, summarized and reported within the time period specified in the rules and forms of the Securities and Exchange Commission. Based upon that evaluation, the Company’s Chief Executive Officer and Chief Financial Officer concluded that the Company’s disclosure controls and procedures are effective as of the end of the period covered by this report at a reasonable assurance level.</w:t>
      </w:r>
    </w:p>
    <w:p>
      <w:pPr>
        <w:spacing w:after="0" w:line="81"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8"/>
          <w:szCs w:val="18"/>
          <w:color w:val="auto"/>
        </w:rPr>
        <w:t>There has been no change in our internal control over financial reporting (as defined in Rule 13a-15(f) under the Exchange Act) that occurred during our last fiscal quarter that has materially affected, or is reasonably likely to materially affect, our internal control over financial reporting.</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4" w:right="339" w:bottom="1440" w:gutter="0" w:footer="0" w:header="0"/>
        </w:sectPr>
      </w:pPr>
    </w:p>
    <w:bookmarkStart w:id="30" w:name="page31"/>
    <w:bookmarkEnd w:id="30"/>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PART II - OTHER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ind w:right="100"/>
        <w:spacing w:after="0" w:line="281" w:lineRule="auto"/>
        <w:rPr>
          <w:sz w:val="20"/>
          <w:szCs w:val="20"/>
          <w:color w:val="auto"/>
        </w:rPr>
      </w:pPr>
      <w:r>
        <w:rPr>
          <w:rFonts w:ascii="Times New Roman" w:cs="Times New Roman" w:eastAsia="Times New Roman" w:hAnsi="Times New Roman"/>
          <w:sz w:val="18"/>
          <w:szCs w:val="18"/>
          <w:color w:val="auto"/>
        </w:rPr>
        <w:t>As of the date of this filing, the Company and its operations continue to be subject to the risk factors previously disclosed in Part I, Item 1A "Risk Factors" in our 2023 Annual Report on Form 10-K for the fiscal year ended December 31, 2023.</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Purchases of Equity Securities by the Issuer and Affiliated Purchasers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Approximate dollar</w:t>
            </w:r>
          </w:p>
        </w:tc>
        <w:tc>
          <w:tcPr>
            <w:tcW w:w="0" w:type="dxa"/>
            <w:vAlign w:val="bottom"/>
          </w:tcPr>
          <w:p>
            <w:pPr>
              <w:spacing w:after="0"/>
              <w:rPr>
                <w:sz w:val="1"/>
                <w:szCs w:val="1"/>
                <w:color w:val="auto"/>
              </w:rPr>
            </w:pPr>
          </w:p>
        </w:tc>
      </w:tr>
      <w:tr>
        <w:trPr>
          <w:trHeight w:val="148"/>
        </w:trPr>
        <w:tc>
          <w:tcPr>
            <w:tcW w:w="4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vMerge w:val="restart"/>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220" w:type="dxa"/>
            <w:vAlign w:val="bottom"/>
          </w:tcPr>
          <w:p>
            <w:pPr>
              <w:spacing w:after="0"/>
              <w:rPr>
                <w:sz w:val="12"/>
                <w:szCs w:val="12"/>
                <w:color w:val="auto"/>
              </w:rPr>
            </w:pPr>
          </w:p>
        </w:tc>
        <w:tc>
          <w:tcPr>
            <w:tcW w:w="16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 purchased</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4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value of shares that</w:t>
            </w:r>
          </w:p>
        </w:tc>
        <w:tc>
          <w:tcPr>
            <w:tcW w:w="0" w:type="dxa"/>
            <w:vAlign w:val="bottom"/>
          </w:tcPr>
          <w:p>
            <w:pPr>
              <w:spacing w:after="0"/>
              <w:rPr>
                <w:sz w:val="1"/>
                <w:szCs w:val="1"/>
                <w:color w:val="auto"/>
              </w:rPr>
            </w:pPr>
          </w:p>
        </w:tc>
      </w:tr>
      <w:tr>
        <w:trPr>
          <w:trHeight w:val="148"/>
        </w:trPr>
        <w:tc>
          <w:tcPr>
            <w:tcW w:w="4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6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as part of publicly</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4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may yet be purchased</w:t>
            </w:r>
          </w:p>
        </w:tc>
        <w:tc>
          <w:tcPr>
            <w:tcW w:w="0" w:type="dxa"/>
            <w:vAlign w:val="bottom"/>
          </w:tcPr>
          <w:p>
            <w:pPr>
              <w:spacing w:after="0"/>
              <w:rPr>
                <w:sz w:val="1"/>
                <w:szCs w:val="1"/>
                <w:color w:val="auto"/>
              </w:rPr>
            </w:pPr>
          </w:p>
        </w:tc>
      </w:tr>
      <w:tr>
        <w:trPr>
          <w:trHeight w:val="148"/>
        </w:trPr>
        <w:tc>
          <w:tcPr>
            <w:tcW w:w="44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20" w:type="dxa"/>
            <w:vAlign w:val="bottom"/>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 shares</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jc w:val="center"/>
              <w:ind w:right="38"/>
              <w:spacing w:after="0" w:line="149" w:lineRule="exact"/>
              <w:rPr>
                <w:sz w:val="20"/>
                <w:szCs w:val="20"/>
                <w:color w:val="auto"/>
              </w:rPr>
            </w:pPr>
            <w:r>
              <w:rPr>
                <w:rFonts w:ascii="Times New Roman" w:cs="Times New Roman" w:eastAsia="Times New Roman" w:hAnsi="Times New Roman"/>
                <w:sz w:val="14"/>
                <w:szCs w:val="14"/>
                <w:b w:val="1"/>
                <w:bCs w:val="1"/>
                <w:color w:val="auto"/>
              </w:rPr>
              <w:t>price paid</w:t>
            </w:r>
          </w:p>
        </w:tc>
        <w:tc>
          <w:tcPr>
            <w:tcW w:w="220" w:type="dxa"/>
            <w:vAlign w:val="bottom"/>
          </w:tcPr>
          <w:p>
            <w:pPr>
              <w:spacing w:after="0"/>
              <w:rPr>
                <w:sz w:val="12"/>
                <w:szCs w:val="12"/>
                <w:color w:val="auto"/>
              </w:rPr>
            </w:pPr>
          </w:p>
        </w:tc>
        <w:tc>
          <w:tcPr>
            <w:tcW w:w="16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announced plans</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4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under the plans or</w:t>
            </w:r>
          </w:p>
        </w:tc>
        <w:tc>
          <w:tcPr>
            <w:tcW w:w="0" w:type="dxa"/>
            <w:vAlign w:val="bottom"/>
          </w:tcPr>
          <w:p>
            <w:pPr>
              <w:spacing w:after="0"/>
              <w:rPr>
                <w:sz w:val="1"/>
                <w:szCs w:val="1"/>
                <w:color w:val="auto"/>
              </w:rPr>
            </w:pPr>
          </w:p>
        </w:tc>
      </w:tr>
      <w:tr>
        <w:trPr>
          <w:trHeight w:val="187"/>
        </w:trPr>
        <w:tc>
          <w:tcPr>
            <w:tcW w:w="440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purchased</w:t>
            </w:r>
          </w:p>
        </w:tc>
        <w:tc>
          <w:tcPr>
            <w:tcW w:w="2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w w:val="99"/>
              </w:rPr>
              <w:t>per share</w:t>
            </w:r>
          </w:p>
        </w:tc>
        <w:tc>
          <w:tcPr>
            <w:tcW w:w="220" w:type="dxa"/>
            <w:vAlign w:val="bottom"/>
          </w:tcPr>
          <w:p>
            <w:pPr>
              <w:spacing w:after="0"/>
              <w:rPr>
                <w:sz w:val="16"/>
                <w:szCs w:val="16"/>
                <w:color w:val="auto"/>
              </w:rPr>
            </w:pPr>
          </w:p>
        </w:tc>
        <w:tc>
          <w:tcPr>
            <w:tcW w:w="1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or programs</w:t>
            </w:r>
          </w:p>
        </w:tc>
        <w:tc>
          <w:tcPr>
            <w:tcW w:w="2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tcPr>
          <w:p>
            <w:pPr>
              <w:jc w:val="center"/>
              <w:ind w:right="121"/>
              <w:spacing w:after="0"/>
              <w:rPr>
                <w:sz w:val="20"/>
                <w:szCs w:val="20"/>
                <w:color w:val="auto"/>
              </w:rPr>
            </w:pPr>
            <w:r>
              <w:rPr>
                <w:rFonts w:ascii="Times New Roman" w:cs="Times New Roman" w:eastAsia="Times New Roman" w:hAnsi="Times New Roman"/>
                <w:sz w:val="14"/>
                <w:szCs w:val="14"/>
                <w:b w:val="1"/>
                <w:bCs w:val="1"/>
                <w:color w:val="auto"/>
                <w:w w:val="99"/>
              </w:rPr>
              <w:t>programs</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4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April 1 through April 30, 2024</w:t>
            </w:r>
          </w:p>
        </w:tc>
        <w:tc>
          <w:tcPr>
            <w:tcW w:w="120" w:type="dxa"/>
            <w:vAlign w:val="bottom"/>
            <w:shd w:val="clear" w:color="auto" w:fill="CFF0FC"/>
          </w:tcPr>
          <w:p>
            <w:pPr>
              <w:spacing w:after="0"/>
              <w:rPr>
                <w:sz w:val="20"/>
                <w:szCs w:val="20"/>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0"/>
                <w:szCs w:val="20"/>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1,000,000,000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May 1 through May 31, 2024</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1,518,900</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18.73</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1,518,900</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971,558,405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4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June 1 through June 30, 2024</w:t>
            </w:r>
          </w:p>
        </w:tc>
        <w:tc>
          <w:tcPr>
            <w:tcW w:w="120" w:type="dxa"/>
            <w:vAlign w:val="bottom"/>
            <w:tcBorders>
              <w:bottom w:val="single" w:sz="8" w:color="CFF0FC"/>
            </w:tcBorders>
            <w:shd w:val="clear" w:color="auto" w:fill="CFF0FC"/>
          </w:tcPr>
          <w:p>
            <w:pPr>
              <w:spacing w:after="0"/>
              <w:rPr>
                <w:sz w:val="21"/>
                <w:szCs w:val="21"/>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457,777</w:t>
            </w:r>
          </w:p>
        </w:tc>
        <w:tc>
          <w:tcPr>
            <w:tcW w:w="26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17.76</w:t>
            </w:r>
          </w:p>
        </w:tc>
        <w:tc>
          <w:tcPr>
            <w:tcW w:w="220" w:type="dxa"/>
            <w:vAlign w:val="bottom"/>
            <w:tcBorders>
              <w:bottom w:val="single" w:sz="8" w:color="CFF0FC"/>
            </w:tcBorders>
            <w:shd w:val="clear" w:color="auto" w:fill="CFF0FC"/>
          </w:tcPr>
          <w:p>
            <w:pPr>
              <w:spacing w:after="0"/>
              <w:rPr>
                <w:sz w:val="21"/>
                <w:szCs w:val="21"/>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457,777</w:t>
            </w:r>
          </w:p>
        </w:tc>
        <w:tc>
          <w:tcPr>
            <w:tcW w:w="2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17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963,429,557</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2"/>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1,976,677</w:t>
            </w:r>
          </w:p>
        </w:tc>
        <w:tc>
          <w:tcPr>
            <w:tcW w:w="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18.50</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1,976,677</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3703955</wp:posOffset>
            </wp:positionH>
            <wp:positionV relativeFrom="paragraph">
              <wp:posOffset>-187960</wp:posOffset>
            </wp:positionV>
            <wp:extent cx="76835"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4509135</wp:posOffset>
            </wp:positionH>
            <wp:positionV relativeFrom="paragraph">
              <wp:posOffset>-187960</wp:posOffset>
            </wp:positionV>
            <wp:extent cx="68580"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5690235</wp:posOffset>
            </wp:positionH>
            <wp:positionV relativeFrom="paragraph">
              <wp:posOffset>-187960</wp:posOffset>
            </wp:positionV>
            <wp:extent cx="68580"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regarding mine safety and other regulatory actions at our mines is included in Exhibit 95 to this Form 10-Q.</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Reference is hereby made to the Exhibit Index commencing on page 32.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238"/>
        </w:trPr>
        <w:tc>
          <w:tcPr>
            <w:tcW w:w="4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20" w:type="dxa"/>
            <w:vAlign w:val="bottom"/>
            <w:gridSpan w:val="5"/>
          </w:tcPr>
          <w:p>
            <w:pPr>
              <w:ind w:left="3680"/>
              <w:spacing w:after="0"/>
              <w:rPr>
                <w:sz w:val="20"/>
                <w:szCs w:val="20"/>
                <w:color w:val="auto"/>
              </w:rPr>
            </w:pPr>
            <w:r>
              <w:rPr>
                <w:rFonts w:ascii="Times New Roman" w:cs="Times New Roman" w:eastAsia="Times New Roman" w:hAnsi="Times New Roman"/>
                <w:sz w:val="18"/>
                <w:szCs w:val="18"/>
                <w:b w:val="1"/>
                <w:bCs w:val="1"/>
                <w:color w:val="auto"/>
              </w:rPr>
              <w:t>INDEX TO EXHIBITS</w:t>
            </w:r>
          </w:p>
        </w:tc>
      </w:tr>
      <w:tr>
        <w:trPr>
          <w:trHeight w:val="324"/>
        </w:trPr>
        <w:tc>
          <w:tcPr>
            <w:tcW w:w="4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9"/>
              </w:rPr>
              <w:t>(a)</w:t>
            </w:r>
          </w:p>
        </w:tc>
        <w:tc>
          <w:tcPr>
            <w:tcW w:w="8620" w:type="dxa"/>
            <w:vAlign w:val="bottom"/>
            <w:gridSpan w:val="6"/>
          </w:tcPr>
          <w:p>
            <w:pPr>
              <w:ind w:left="100"/>
              <w:spacing w:after="0"/>
              <w:rPr>
                <w:sz w:val="20"/>
                <w:szCs w:val="20"/>
                <w:color w:val="auto"/>
              </w:rPr>
            </w:pPr>
            <w:r>
              <w:rPr>
                <w:rFonts w:ascii="Times New Roman" w:cs="Times New Roman" w:eastAsia="Times New Roman" w:hAnsi="Times New Roman"/>
                <w:sz w:val="18"/>
                <w:szCs w:val="18"/>
                <w:color w:val="auto"/>
              </w:rPr>
              <w:t>Exhibits</w:t>
            </w:r>
          </w:p>
        </w:tc>
      </w:tr>
      <w:tr>
        <w:trPr>
          <w:trHeight w:val="431"/>
        </w:trPr>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600" w:type="dxa"/>
            <w:vAlign w:val="bottom"/>
          </w:tcPr>
          <w:p>
            <w:pPr>
              <w:spacing w:after="0"/>
              <w:rPr>
                <w:sz w:val="24"/>
                <w:szCs w:val="24"/>
                <w:color w:val="auto"/>
              </w:rPr>
            </w:pPr>
          </w:p>
        </w:tc>
        <w:tc>
          <w:tcPr>
            <w:tcW w:w="8020" w:type="dxa"/>
            <w:vAlign w:val="bottom"/>
            <w:gridSpan w:val="5"/>
          </w:tcPr>
          <w:p>
            <w:pPr>
              <w:spacing w:after="0"/>
              <w:rPr>
                <w:rFonts w:ascii="Times New Roman" w:cs="Times New Roman" w:eastAsia="Times New Roman" w:hAnsi="Times New Roman"/>
                <w:sz w:val="18"/>
                <w:szCs w:val="18"/>
                <w:color w:val="0000FF"/>
              </w:rPr>
            </w:pPr>
            <w:hyperlink r:id="rId399">
              <w:r>
                <w:rPr>
                  <w:rFonts w:ascii="Times New Roman" w:cs="Times New Roman" w:eastAsia="Times New Roman" w:hAnsi="Times New Roman"/>
                  <w:sz w:val="18"/>
                  <w:szCs w:val="18"/>
                  <w:color w:val="0000FF"/>
                </w:rPr>
                <w:t>Seventh Amended and Restated Certificate of Incorporation of NOV Inc. (Exhibit 3.1) (1)</w:t>
              </w:r>
            </w:hyperlink>
          </w:p>
        </w:tc>
      </w:tr>
      <w:tr>
        <w:trPr>
          <w:trHeight w:val="20"/>
        </w:trPr>
        <w:tc>
          <w:tcPr>
            <w:tcW w:w="420" w:type="dxa"/>
            <w:vAlign w:val="bottom"/>
          </w:tcPr>
          <w:p>
            <w:pPr>
              <w:spacing w:after="0" w:line="20" w:lineRule="exact"/>
              <w:rPr>
                <w:sz w:val="1"/>
                <w:szCs w:val="1"/>
                <w:color w:val="auto"/>
              </w:rPr>
            </w:pPr>
          </w:p>
        </w:tc>
        <w:tc>
          <w:tcPr>
            <w:tcW w:w="600" w:type="dxa"/>
            <w:vAlign w:val="bottom"/>
            <w:tcBorders>
              <w:right w:val="single" w:sz="8" w:color="0000EE"/>
            </w:tcBorders>
          </w:tcPr>
          <w:p>
            <w:pPr>
              <w:spacing w:after="0" w:line="20" w:lineRule="exact"/>
              <w:rPr>
                <w:sz w:val="1"/>
                <w:szCs w:val="1"/>
                <w:color w:val="auto"/>
              </w:rPr>
            </w:pPr>
          </w:p>
        </w:tc>
        <w:tc>
          <w:tcPr>
            <w:tcW w:w="4480" w:type="dxa"/>
            <w:vAlign w:val="bottom"/>
            <w:tcBorders>
              <w:right w:val="single" w:sz="8" w:color="0000FF"/>
            </w:tcBorders>
            <w:shd w:val="clear" w:color="auto" w:fill="0000FF"/>
          </w:tcPr>
          <w:p>
            <w:pPr>
              <w:spacing w:after="0" w:line="20" w:lineRule="exact"/>
              <w:rPr>
                <w:sz w:val="1"/>
                <w:szCs w:val="1"/>
                <w:color w:val="auto"/>
              </w:rPr>
            </w:pPr>
          </w:p>
        </w:tc>
        <w:tc>
          <w:tcPr>
            <w:tcW w:w="1040" w:type="dxa"/>
            <w:vAlign w:val="bottom"/>
            <w:tcBorders>
              <w:right w:val="single" w:sz="8" w:color="0000FF"/>
            </w:tcBorders>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31"/>
        </w:trPr>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600" w:type="dxa"/>
            <w:vAlign w:val="bottom"/>
          </w:tcPr>
          <w:p>
            <w:pPr>
              <w:spacing w:after="0"/>
              <w:rPr>
                <w:sz w:val="24"/>
                <w:szCs w:val="24"/>
                <w:color w:val="auto"/>
              </w:rPr>
            </w:pPr>
          </w:p>
        </w:tc>
        <w:tc>
          <w:tcPr>
            <w:tcW w:w="8020" w:type="dxa"/>
            <w:vAlign w:val="bottom"/>
            <w:gridSpan w:val="5"/>
          </w:tcPr>
          <w:p>
            <w:pPr>
              <w:spacing w:after="0"/>
              <w:rPr>
                <w:rFonts w:ascii="Times New Roman" w:cs="Times New Roman" w:eastAsia="Times New Roman" w:hAnsi="Times New Roman"/>
                <w:sz w:val="18"/>
                <w:szCs w:val="18"/>
                <w:color w:val="0000FF"/>
              </w:rPr>
            </w:pPr>
            <w:hyperlink r:id="rId400">
              <w:r>
                <w:rPr>
                  <w:rFonts w:ascii="Times New Roman" w:cs="Times New Roman" w:eastAsia="Times New Roman" w:hAnsi="Times New Roman"/>
                  <w:sz w:val="18"/>
                  <w:szCs w:val="18"/>
                  <w:color w:val="0000FF"/>
                </w:rPr>
                <w:t>Amended and Restated By-laws of NOV Inc. (Exhibit 3.1) (2)</w:t>
              </w:r>
            </w:hyperlink>
          </w:p>
        </w:tc>
      </w:tr>
      <w:tr>
        <w:trPr>
          <w:trHeight w:val="20"/>
        </w:trPr>
        <w:tc>
          <w:tcPr>
            <w:tcW w:w="420" w:type="dxa"/>
            <w:vAlign w:val="bottom"/>
          </w:tcPr>
          <w:p>
            <w:pPr>
              <w:spacing w:after="0" w:line="20" w:lineRule="exact"/>
              <w:rPr>
                <w:sz w:val="1"/>
                <w:szCs w:val="1"/>
                <w:color w:val="auto"/>
              </w:rPr>
            </w:pPr>
          </w:p>
        </w:tc>
        <w:tc>
          <w:tcPr>
            <w:tcW w:w="600" w:type="dxa"/>
            <w:vAlign w:val="bottom"/>
            <w:tcBorders>
              <w:right w:val="single" w:sz="8" w:color="0000EE"/>
            </w:tcBorders>
          </w:tcPr>
          <w:p>
            <w:pPr>
              <w:spacing w:after="0" w:line="20" w:lineRule="exact"/>
              <w:rPr>
                <w:sz w:val="1"/>
                <w:szCs w:val="1"/>
                <w:color w:val="auto"/>
              </w:rPr>
            </w:pPr>
          </w:p>
        </w:tc>
        <w:tc>
          <w:tcPr>
            <w:tcW w:w="4480" w:type="dxa"/>
            <w:vAlign w:val="bottom"/>
            <w:tcBorders>
              <w:right w:val="single" w:sz="8" w:color="0000EE"/>
            </w:tcBorders>
            <w:shd w:val="clear" w:color="auto" w:fill="0000FF"/>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31"/>
        </w:trPr>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600" w:type="dxa"/>
            <w:vAlign w:val="bottom"/>
          </w:tcPr>
          <w:p>
            <w:pPr>
              <w:spacing w:after="0"/>
              <w:rPr>
                <w:sz w:val="24"/>
                <w:szCs w:val="24"/>
                <w:color w:val="auto"/>
              </w:rPr>
            </w:pPr>
          </w:p>
        </w:tc>
        <w:tc>
          <w:tcPr>
            <w:tcW w:w="8020" w:type="dxa"/>
            <w:vAlign w:val="bottom"/>
            <w:gridSpan w:val="5"/>
          </w:tcPr>
          <w:p>
            <w:pPr>
              <w:spacing w:after="0"/>
              <w:rPr>
                <w:sz w:val="20"/>
                <w:szCs w:val="20"/>
                <w:color w:val="auto"/>
              </w:rPr>
            </w:pPr>
            <w:r>
              <w:rPr>
                <w:rFonts w:ascii="Times New Roman" w:cs="Times New Roman" w:eastAsia="Times New Roman" w:hAnsi="Times New Roman"/>
                <w:sz w:val="18"/>
                <w:szCs w:val="18"/>
                <w:color w:val="0000FF"/>
                <w:w w:val="99"/>
              </w:rPr>
              <w:t>Certification pursuant to Rule 13a-14a and Rule 15d-14(a) of the Securities and Exchange Act, as amended. (3)</w:t>
            </w:r>
          </w:p>
        </w:tc>
      </w:tr>
      <w:tr>
        <w:trPr>
          <w:trHeight w:val="20"/>
        </w:trPr>
        <w:tc>
          <w:tcPr>
            <w:tcW w:w="420" w:type="dxa"/>
            <w:vAlign w:val="bottom"/>
          </w:tcPr>
          <w:p>
            <w:pPr>
              <w:spacing w:after="0" w:line="20" w:lineRule="exact"/>
              <w:rPr>
                <w:sz w:val="1"/>
                <w:szCs w:val="1"/>
                <w:color w:val="auto"/>
              </w:rPr>
            </w:pPr>
          </w:p>
        </w:tc>
        <w:tc>
          <w:tcPr>
            <w:tcW w:w="600" w:type="dxa"/>
            <w:vAlign w:val="bottom"/>
            <w:tcBorders>
              <w:right w:val="single" w:sz="8" w:color="0000EE"/>
            </w:tcBorders>
          </w:tcPr>
          <w:p>
            <w:pPr>
              <w:spacing w:after="0" w:line="20" w:lineRule="exact"/>
              <w:rPr>
                <w:sz w:val="1"/>
                <w:szCs w:val="1"/>
                <w:color w:val="auto"/>
              </w:rPr>
            </w:pPr>
          </w:p>
        </w:tc>
        <w:tc>
          <w:tcPr>
            <w:tcW w:w="5520" w:type="dxa"/>
            <w:vAlign w:val="bottom"/>
            <w:tcBorders>
              <w:right w:val="single" w:sz="8" w:color="0000FF"/>
            </w:tcBorders>
            <w:gridSpan w:val="2"/>
            <w:shd w:val="clear" w:color="auto" w:fill="0000FF"/>
          </w:tcPr>
          <w:p>
            <w:pPr>
              <w:spacing w:after="0" w:line="20" w:lineRule="exact"/>
              <w:rPr>
                <w:sz w:val="1"/>
                <w:szCs w:val="1"/>
                <w:color w:val="auto"/>
              </w:rPr>
            </w:pPr>
          </w:p>
        </w:tc>
        <w:tc>
          <w:tcPr>
            <w:tcW w:w="24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r>
      <w:tr>
        <w:trPr>
          <w:trHeight w:val="331"/>
        </w:trPr>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600" w:type="dxa"/>
            <w:vAlign w:val="bottom"/>
          </w:tcPr>
          <w:p>
            <w:pPr>
              <w:spacing w:after="0"/>
              <w:rPr>
                <w:sz w:val="24"/>
                <w:szCs w:val="24"/>
                <w:color w:val="auto"/>
              </w:rPr>
            </w:pPr>
          </w:p>
        </w:tc>
        <w:tc>
          <w:tcPr>
            <w:tcW w:w="8020" w:type="dxa"/>
            <w:vAlign w:val="bottom"/>
            <w:gridSpan w:val="5"/>
          </w:tcPr>
          <w:p>
            <w:pPr>
              <w:spacing w:after="0"/>
              <w:rPr>
                <w:sz w:val="20"/>
                <w:szCs w:val="20"/>
                <w:color w:val="auto"/>
              </w:rPr>
            </w:pPr>
            <w:r>
              <w:rPr>
                <w:rFonts w:ascii="Times New Roman" w:cs="Times New Roman" w:eastAsia="Times New Roman" w:hAnsi="Times New Roman"/>
                <w:sz w:val="18"/>
                <w:szCs w:val="18"/>
                <w:color w:val="0000FF"/>
                <w:w w:val="99"/>
              </w:rPr>
              <w:t>Certification pursuant to Rule 13a-14a and Rule 15d-14(a) of the Securities and Exchange Act, as amended. (3)</w:t>
            </w:r>
          </w:p>
        </w:tc>
      </w:tr>
      <w:tr>
        <w:trPr>
          <w:trHeight w:val="20"/>
        </w:trPr>
        <w:tc>
          <w:tcPr>
            <w:tcW w:w="420" w:type="dxa"/>
            <w:vAlign w:val="bottom"/>
          </w:tcPr>
          <w:p>
            <w:pPr>
              <w:spacing w:after="0" w:line="20" w:lineRule="exact"/>
              <w:rPr>
                <w:sz w:val="1"/>
                <w:szCs w:val="1"/>
                <w:color w:val="auto"/>
              </w:rPr>
            </w:pPr>
          </w:p>
        </w:tc>
        <w:tc>
          <w:tcPr>
            <w:tcW w:w="600" w:type="dxa"/>
            <w:vAlign w:val="bottom"/>
            <w:tcBorders>
              <w:right w:val="single" w:sz="8" w:color="0000EE"/>
            </w:tcBorders>
          </w:tcPr>
          <w:p>
            <w:pPr>
              <w:spacing w:after="0" w:line="20" w:lineRule="exact"/>
              <w:rPr>
                <w:sz w:val="1"/>
                <w:szCs w:val="1"/>
                <w:color w:val="auto"/>
              </w:rPr>
            </w:pPr>
          </w:p>
        </w:tc>
        <w:tc>
          <w:tcPr>
            <w:tcW w:w="5520" w:type="dxa"/>
            <w:vAlign w:val="bottom"/>
            <w:tcBorders>
              <w:right w:val="single" w:sz="8" w:color="0000FF"/>
            </w:tcBorders>
            <w:gridSpan w:val="2"/>
            <w:shd w:val="clear" w:color="auto" w:fill="0000FF"/>
          </w:tcPr>
          <w:p>
            <w:pPr>
              <w:spacing w:after="0" w:line="20" w:lineRule="exact"/>
              <w:rPr>
                <w:sz w:val="1"/>
                <w:szCs w:val="1"/>
                <w:color w:val="auto"/>
              </w:rPr>
            </w:pPr>
          </w:p>
        </w:tc>
        <w:tc>
          <w:tcPr>
            <w:tcW w:w="24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31"/>
        </w:trPr>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600" w:type="dxa"/>
            <w:vAlign w:val="bottom"/>
          </w:tcPr>
          <w:p>
            <w:pPr>
              <w:spacing w:after="0"/>
              <w:rPr>
                <w:sz w:val="24"/>
                <w:szCs w:val="24"/>
                <w:color w:val="auto"/>
              </w:rPr>
            </w:pPr>
          </w:p>
        </w:tc>
        <w:tc>
          <w:tcPr>
            <w:tcW w:w="802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Certification pursuant to Section 906 of the Sarbanes-Oxley Act of 2002. (3)</w:t>
            </w:r>
          </w:p>
        </w:tc>
      </w:tr>
      <w:tr>
        <w:trPr>
          <w:trHeight w:val="20"/>
        </w:trPr>
        <w:tc>
          <w:tcPr>
            <w:tcW w:w="420" w:type="dxa"/>
            <w:vAlign w:val="bottom"/>
          </w:tcPr>
          <w:p>
            <w:pPr>
              <w:spacing w:after="0" w:line="20" w:lineRule="exact"/>
              <w:rPr>
                <w:sz w:val="1"/>
                <w:szCs w:val="1"/>
                <w:color w:val="auto"/>
              </w:rPr>
            </w:pPr>
          </w:p>
        </w:tc>
        <w:tc>
          <w:tcPr>
            <w:tcW w:w="600" w:type="dxa"/>
            <w:vAlign w:val="bottom"/>
            <w:tcBorders>
              <w:right w:val="single" w:sz="8" w:color="0000EE"/>
            </w:tcBorders>
          </w:tcPr>
          <w:p>
            <w:pPr>
              <w:spacing w:after="0" w:line="20" w:lineRule="exact"/>
              <w:rPr>
                <w:sz w:val="1"/>
                <w:szCs w:val="1"/>
                <w:color w:val="auto"/>
              </w:rPr>
            </w:pPr>
          </w:p>
        </w:tc>
        <w:tc>
          <w:tcPr>
            <w:tcW w:w="5520" w:type="dxa"/>
            <w:vAlign w:val="bottom"/>
            <w:tcBorders>
              <w:right w:val="single" w:sz="8" w:color="0000EE"/>
            </w:tcBorders>
            <w:gridSpan w:val="2"/>
            <w:shd w:val="clear" w:color="auto" w:fill="0000FF"/>
          </w:tcPr>
          <w:p>
            <w:pPr>
              <w:spacing w:after="0" w:line="20" w:lineRule="exact"/>
              <w:rPr>
                <w:sz w:val="1"/>
                <w:szCs w:val="1"/>
                <w:color w:val="auto"/>
              </w:rPr>
            </w:pPr>
          </w:p>
        </w:tc>
        <w:tc>
          <w:tcPr>
            <w:tcW w:w="2500" w:type="dxa"/>
            <w:vAlign w:val="bottom"/>
            <w:gridSpan w:val="3"/>
          </w:tcPr>
          <w:p>
            <w:pPr>
              <w:spacing w:after="0" w:line="20" w:lineRule="exact"/>
              <w:rPr>
                <w:sz w:val="1"/>
                <w:szCs w:val="1"/>
                <w:color w:val="auto"/>
              </w:rPr>
            </w:pPr>
          </w:p>
        </w:tc>
      </w:tr>
      <w:tr>
        <w:trPr>
          <w:trHeight w:val="331"/>
        </w:trPr>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600" w:type="dxa"/>
            <w:vAlign w:val="bottom"/>
          </w:tcPr>
          <w:p>
            <w:pPr>
              <w:spacing w:after="0"/>
              <w:rPr>
                <w:sz w:val="24"/>
                <w:szCs w:val="24"/>
                <w:color w:val="auto"/>
              </w:rPr>
            </w:pPr>
          </w:p>
        </w:tc>
        <w:tc>
          <w:tcPr>
            <w:tcW w:w="802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Certification pursuant to Section 906 of the Sarbanes-Oxley Act of 2002. (3)</w:t>
            </w:r>
          </w:p>
        </w:tc>
      </w:tr>
      <w:tr>
        <w:trPr>
          <w:trHeight w:val="20"/>
        </w:trPr>
        <w:tc>
          <w:tcPr>
            <w:tcW w:w="420" w:type="dxa"/>
            <w:vAlign w:val="bottom"/>
          </w:tcPr>
          <w:p>
            <w:pPr>
              <w:spacing w:after="0" w:line="20" w:lineRule="exact"/>
              <w:rPr>
                <w:sz w:val="1"/>
                <w:szCs w:val="1"/>
                <w:color w:val="auto"/>
              </w:rPr>
            </w:pPr>
          </w:p>
        </w:tc>
        <w:tc>
          <w:tcPr>
            <w:tcW w:w="600" w:type="dxa"/>
            <w:vAlign w:val="bottom"/>
            <w:tcBorders>
              <w:right w:val="single" w:sz="8" w:color="0000EE"/>
            </w:tcBorders>
          </w:tcPr>
          <w:p>
            <w:pPr>
              <w:spacing w:after="0" w:line="20" w:lineRule="exact"/>
              <w:rPr>
                <w:sz w:val="1"/>
                <w:szCs w:val="1"/>
                <w:color w:val="auto"/>
              </w:rPr>
            </w:pPr>
          </w:p>
        </w:tc>
        <w:tc>
          <w:tcPr>
            <w:tcW w:w="4480" w:type="dxa"/>
            <w:vAlign w:val="bottom"/>
            <w:tcBorders>
              <w:right w:val="single" w:sz="8" w:color="0000FF"/>
            </w:tcBorders>
            <w:shd w:val="clear" w:color="auto" w:fill="0000FF"/>
          </w:tcPr>
          <w:p>
            <w:pPr>
              <w:spacing w:after="0" w:line="20" w:lineRule="exact"/>
              <w:rPr>
                <w:sz w:val="1"/>
                <w:szCs w:val="1"/>
                <w:color w:val="auto"/>
              </w:rPr>
            </w:pPr>
          </w:p>
        </w:tc>
        <w:tc>
          <w:tcPr>
            <w:tcW w:w="1040" w:type="dxa"/>
            <w:vAlign w:val="bottom"/>
            <w:tcBorders>
              <w:right w:val="single" w:sz="8" w:color="0000EE"/>
            </w:tcBorders>
            <w:shd w:val="clear" w:color="auto" w:fill="0000FF"/>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43" w:lineRule="exact"/>
        <w:rPr>
          <w:sz w:val="20"/>
          <w:szCs w:val="20"/>
          <w:color w:val="auto"/>
        </w:rPr>
      </w:pPr>
    </w:p>
    <w:p>
      <w:pPr>
        <w:ind w:left="1000" w:hanging="979"/>
        <w:spacing w:after="0"/>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Mine Safety Information pursuant to section 1503 of the Dodd-Frank Act.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638810</wp:posOffset>
            </wp:positionH>
            <wp:positionV relativeFrom="paragraph">
              <wp:posOffset>-7620</wp:posOffset>
            </wp:positionV>
            <wp:extent cx="3543300"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01">
                      <a:extLst>
                        <a:ext uri="{28A0092B-C50C-407E-A947-70E740481C1C}"/>
                      </a:extLst>
                    </a:blip>
                    <a:srcRect/>
                    <a:stretch>
                      <a:fillRect/>
                    </a:stretch>
                  </pic:blipFill>
                  <pic:spPr bwMode="auto">
                    <a:xfrm>
                      <a:off x="0" y="0"/>
                      <a:ext cx="3543300" cy="8255"/>
                    </a:xfrm>
                    <a:prstGeom prst="rect">
                      <a:avLst/>
                    </a:prstGeom>
                    <a:noFill/>
                  </pic:spPr>
                </pic:pic>
              </a:graphicData>
            </a:graphic>
          </wp:anchor>
        </w:drawing>
      </w:r>
    </w:p>
    <w:p>
      <w:pPr>
        <w:spacing w:after="0" w:line="124"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1020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9"/>
              </w:rPr>
              <w:t>Inline XBRL Instance Document – the instance document does not appear in the Interactive Data File because its XBRL tags are embedded</w:t>
            </w:r>
          </w:p>
        </w:tc>
      </w:tr>
      <w:tr>
        <w:trPr>
          <w:trHeight w:val="234"/>
        </w:trPr>
        <w:tc>
          <w:tcPr>
            <w:tcW w:w="840" w:type="dxa"/>
            <w:vAlign w:val="bottom"/>
          </w:tcPr>
          <w:p>
            <w:pPr>
              <w:spacing w:after="0"/>
              <w:rPr>
                <w:sz w:val="20"/>
                <w:szCs w:val="20"/>
                <w:color w:val="auto"/>
              </w:rPr>
            </w:pPr>
          </w:p>
        </w:tc>
        <w:tc>
          <w:tcPr>
            <w:tcW w:w="10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within the Inline XBRL document.</w:t>
            </w:r>
          </w:p>
        </w:tc>
      </w:tr>
      <w:tr>
        <w:trPr>
          <w:trHeight w:val="351"/>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10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351"/>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10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351"/>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10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351"/>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10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351"/>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10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bl>
    <w:p>
      <w:pPr>
        <w:spacing w:after="0" w:line="116" w:lineRule="exact"/>
        <w:rPr>
          <w:sz w:val="20"/>
          <w:szCs w:val="20"/>
          <w:color w:val="auto"/>
        </w:rPr>
      </w:pPr>
    </w:p>
    <w:p>
      <w:pPr>
        <w:ind w:right="3720" w:firstLine="21"/>
        <w:spacing w:after="0" w:line="390" w:lineRule="auto"/>
        <w:tabs>
          <w:tab w:leader="none" w:pos="998"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 * Compensatory plan or arrangement for management or others.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-175260</wp:posOffset>
            </wp:positionV>
            <wp:extent cx="1900555"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2">
                      <a:extLst>
                        <a:ext uri="{28A0092B-C50C-407E-A947-70E740481C1C}"/>
                      </a:extLst>
                    </a:blip>
                    <a:srcRect/>
                    <a:stretch>
                      <a:fillRect/>
                    </a:stretch>
                  </pic:blipFill>
                  <pic:spPr bwMode="auto">
                    <a:xfrm>
                      <a:off x="0" y="0"/>
                      <a:ext cx="1900555" cy="8255"/>
                    </a:xfrm>
                    <a:prstGeom prst="rect">
                      <a:avLst/>
                    </a:prstGeom>
                    <a:noFill/>
                  </pic:spPr>
                </pic:pic>
              </a:graphicData>
            </a:graphic>
          </wp:anchor>
        </w:drawing>
      </w:r>
    </w:p>
    <w:p>
      <w:pPr>
        <w:ind w:left="520" w:hanging="512"/>
        <w:spacing w:after="0"/>
        <w:tabs>
          <w:tab w:leader="none" w:pos="5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as an Exhibit to our Current Report on Form 8-K filed on May 18, 2023</w:t>
      </w:r>
    </w:p>
    <w:p>
      <w:pPr>
        <w:spacing w:after="0" w:line="76"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as an Exhibit to our Current Report on Form 8-K filed on February 28, 2023.</w:t>
      </w:r>
    </w:p>
    <w:p>
      <w:pPr>
        <w:spacing w:after="0" w:line="89"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51"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We hereby undertake, pursuant to Regulation S-K, Item 601(b), paragraph (4) (iii), to furnish to the U.S. Securities and Exchange Commission, upon request, all constituent instruments defining the rights of holders of our long-term debt not filed herewith.</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32" w:name="page33"/>
    <w:bookmarkEnd w:id="3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121"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14" w:lineRule="exact"/>
        <w:rPr>
          <w:sz w:val="20"/>
          <w:szCs w:val="20"/>
          <w:color w:val="auto"/>
        </w:rPr>
      </w:pPr>
    </w:p>
    <w:p>
      <w:pPr>
        <w:ind w:left="20"/>
        <w:spacing w:after="0"/>
        <w:tabs>
          <w:tab w:leader="none" w:pos="5520" w:val="left"/>
          <w:tab w:leader="none" w:pos="6100" w:val="left"/>
        </w:tabs>
        <w:rPr>
          <w:sz w:val="20"/>
          <w:szCs w:val="20"/>
          <w:color w:val="auto"/>
        </w:rPr>
      </w:pPr>
      <w:r>
        <w:rPr>
          <w:rFonts w:ascii="Times New Roman" w:cs="Times New Roman" w:eastAsia="Times New Roman" w:hAnsi="Times New Roman"/>
          <w:sz w:val="18"/>
          <w:szCs w:val="18"/>
          <w:color w:val="auto"/>
        </w:rPr>
        <w:t>Date: July 29, 2024</w:t>
      </w:r>
      <w:r>
        <w:rPr>
          <w:sz w:val="20"/>
          <w:szCs w:val="20"/>
          <w:color w:val="auto"/>
        </w:rPr>
        <w:tab/>
      </w:r>
      <w:r>
        <w:rPr>
          <w:rFonts w:ascii="Times New Roman" w:cs="Times New Roman" w:eastAsia="Times New Roman" w:hAnsi="Times New Roman"/>
          <w:sz w:val="18"/>
          <w:szCs w:val="18"/>
          <w:i w:val="1"/>
          <w:iCs w:val="1"/>
          <w:color w:val="auto"/>
        </w:rPr>
        <w:t>By:</w:t>
      </w:r>
      <w:r>
        <w:rPr>
          <w:sz w:val="20"/>
          <w:szCs w:val="20"/>
          <w:color w:val="auto"/>
        </w:rPr>
        <w:tab/>
      </w:r>
      <w:r>
        <w:rPr>
          <w:rFonts w:ascii="Times New Roman" w:cs="Times New Roman" w:eastAsia="Times New Roman" w:hAnsi="Times New Roman"/>
          <w:sz w:val="17"/>
          <w:szCs w:val="17"/>
          <w:i w:val="1"/>
          <w:iCs w:val="1"/>
          <w:color w:val="auto"/>
        </w:rPr>
        <w:t>/s/ Christy H. Novak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3875405</wp:posOffset>
            </wp:positionH>
            <wp:positionV relativeFrom="paragraph">
              <wp:posOffset>27305</wp:posOffset>
            </wp:positionV>
            <wp:extent cx="3261995"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4">
                      <a:extLst>
                        <a:ext uri="{28A0092B-C50C-407E-A947-70E740481C1C}"/>
                      </a:extLst>
                    </a:blip>
                    <a:srcRect/>
                    <a:stretch>
                      <a:fillRect/>
                    </a:stretch>
                  </pic:blipFill>
                  <pic:spPr bwMode="auto">
                    <a:xfrm>
                      <a:off x="0" y="0"/>
                      <a:ext cx="3261995" cy="8255"/>
                    </a:xfrm>
                    <a:prstGeom prst="rect">
                      <a:avLst/>
                    </a:prstGeom>
                    <a:noFill/>
                  </pic:spPr>
                </pic:pic>
              </a:graphicData>
            </a:graphic>
          </wp:anchor>
        </w:drawing>
      </w:r>
    </w:p>
    <w:p>
      <w:pPr>
        <w:spacing w:after="0" w:line="5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Christy H. Novak</w:t>
      </w:r>
    </w:p>
    <w:p>
      <w:pPr>
        <w:spacing w:after="0" w:line="6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Vice President, Corporate Controller &amp; Chief Accounting Officer</w:t>
      </w:r>
    </w:p>
    <w:p>
      <w:pPr>
        <w:spacing w:after="0" w:line="6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(Duly Authorized Officer, Principal Accounting Officer)</w:t>
      </w: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33" w:name="page34"/>
    <w:bookmarkEnd w:id="33"/>
    <w:p>
      <w:pPr>
        <w:ind w:left="10260"/>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Clay C. Williams, certify that:</w:t>
      </w:r>
    </w:p>
    <w:p>
      <w:pPr>
        <w:spacing w:after="0" w:line="225" w:lineRule="exact"/>
        <w:rPr>
          <w:sz w:val="20"/>
          <w:szCs w:val="20"/>
          <w:color w:val="auto"/>
        </w:rPr>
      </w:pPr>
    </w:p>
    <w:p>
      <w:pPr>
        <w:ind w:left="180" w:hanging="172"/>
        <w:spacing w:after="0"/>
        <w:tabs>
          <w:tab w:leader="none" w:pos="1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NOV Inc.;</w:t>
      </w:r>
    </w:p>
    <w:p>
      <w:pPr>
        <w:spacing w:after="0" w:line="224" w:lineRule="exact"/>
        <w:rPr>
          <w:rFonts w:ascii="Times New Roman" w:cs="Times New Roman" w:eastAsia="Times New Roman" w:hAnsi="Times New Roman"/>
          <w:sz w:val="18"/>
          <w:szCs w:val="18"/>
          <w:color w:val="auto"/>
        </w:rPr>
      </w:pPr>
    </w:p>
    <w:p>
      <w:pPr>
        <w:ind w:firstLine="8"/>
        <w:spacing w:after="0" w:line="281" w:lineRule="auto"/>
        <w:tabs>
          <w:tab w:leader="none" w:pos="202"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2" w:lineRule="exact"/>
        <w:rPr>
          <w:rFonts w:ascii="Times New Roman" w:cs="Times New Roman" w:eastAsia="Times New Roman" w:hAnsi="Times New Roman"/>
          <w:sz w:val="18"/>
          <w:szCs w:val="18"/>
          <w:color w:val="auto"/>
        </w:rPr>
      </w:pPr>
    </w:p>
    <w:p>
      <w:pPr>
        <w:ind w:firstLine="8"/>
        <w:spacing w:after="0" w:line="281" w:lineRule="auto"/>
        <w:tabs>
          <w:tab w:leader="none" w:pos="20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2" w:lineRule="exact"/>
        <w:rPr>
          <w:rFonts w:ascii="Times New Roman" w:cs="Times New Roman" w:eastAsia="Times New Roman" w:hAnsi="Times New Roman"/>
          <w:sz w:val="18"/>
          <w:szCs w:val="18"/>
          <w:color w:val="auto"/>
        </w:rPr>
      </w:pPr>
    </w:p>
    <w:p>
      <w:pPr>
        <w:jc w:val="both"/>
        <w:ind w:firstLine="8"/>
        <w:spacing w:after="0" w:line="265" w:lineRule="auto"/>
        <w:tabs>
          <w:tab w:leader="none" w:pos="181"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7" w:lineRule="exact"/>
        <w:rPr>
          <w:sz w:val="20"/>
          <w:szCs w:val="20"/>
          <w:color w:val="auto"/>
        </w:rPr>
      </w:pPr>
    </w:p>
    <w:p>
      <w:pPr>
        <w:jc w:val="both"/>
        <w:ind w:firstLine="8"/>
        <w:spacing w:after="0" w:line="265" w:lineRule="auto"/>
        <w:tabs>
          <w:tab w:leader="none" w:pos="18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7" w:lineRule="exact"/>
        <w:rPr>
          <w:rFonts w:ascii="Times New Roman" w:cs="Times New Roman" w:eastAsia="Times New Roman" w:hAnsi="Times New Roman"/>
          <w:sz w:val="18"/>
          <w:szCs w:val="18"/>
          <w:color w:val="auto"/>
        </w:rPr>
      </w:pPr>
    </w:p>
    <w:p>
      <w:pPr>
        <w:jc w:val="both"/>
        <w:ind w:firstLine="8"/>
        <w:spacing w:after="0" w:line="265" w:lineRule="auto"/>
        <w:tabs>
          <w:tab w:leader="none" w:pos="2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7" w:lineRule="exact"/>
        <w:rPr>
          <w:rFonts w:ascii="Times New Roman" w:cs="Times New Roman" w:eastAsia="Times New Roman" w:hAnsi="Times New Roman"/>
          <w:sz w:val="18"/>
          <w:szCs w:val="18"/>
          <w:color w:val="auto"/>
        </w:rPr>
      </w:pPr>
    </w:p>
    <w:p>
      <w:pPr>
        <w:ind w:firstLine="8"/>
        <w:spacing w:after="0" w:line="281" w:lineRule="auto"/>
        <w:tabs>
          <w:tab w:leader="none" w:pos="193"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2" w:lineRule="exact"/>
        <w:rPr>
          <w:rFonts w:ascii="Times New Roman" w:cs="Times New Roman" w:eastAsia="Times New Roman" w:hAnsi="Times New Roman"/>
          <w:sz w:val="18"/>
          <w:szCs w:val="18"/>
          <w:color w:val="auto"/>
        </w:rPr>
      </w:pPr>
    </w:p>
    <w:p>
      <w:pPr>
        <w:jc w:val="both"/>
        <w:ind w:firstLine="8"/>
        <w:spacing w:after="0" w:line="265" w:lineRule="auto"/>
        <w:tabs>
          <w:tab w:leader="none" w:pos="212"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7" w:lineRule="exact"/>
        <w:rPr>
          <w:sz w:val="20"/>
          <w:szCs w:val="20"/>
          <w:color w:val="auto"/>
        </w:rPr>
      </w:pPr>
    </w:p>
    <w:p>
      <w:pPr>
        <w:ind w:firstLine="8"/>
        <w:spacing w:after="0" w:line="281" w:lineRule="auto"/>
        <w:tabs>
          <w:tab w:leader="none" w:pos="201"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w:t>
      </w:r>
    </w:p>
    <w:p>
      <w:pPr>
        <w:spacing w:after="0" w:line="163" w:lineRule="exact"/>
        <w:rPr>
          <w:sz w:val="20"/>
          <w:szCs w:val="20"/>
          <w:color w:val="auto"/>
        </w:rPr>
      </w:pPr>
    </w:p>
    <w:p>
      <w:pPr>
        <w:ind w:firstLine="8"/>
        <w:spacing w:after="0" w:line="281" w:lineRule="auto"/>
        <w:tabs>
          <w:tab w:leader="none" w:pos="19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2" w:lineRule="exact"/>
        <w:rPr>
          <w:rFonts w:ascii="Times New Roman" w:cs="Times New Roman" w:eastAsia="Times New Roman" w:hAnsi="Times New Roman"/>
          <w:sz w:val="18"/>
          <w:szCs w:val="18"/>
          <w:color w:val="auto"/>
        </w:rPr>
      </w:pPr>
    </w:p>
    <w:p>
      <w:pPr>
        <w:ind w:firstLine="8"/>
        <w:spacing w:after="0" w:line="281" w:lineRule="auto"/>
        <w:tabs>
          <w:tab w:leader="none" w:pos="209"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July 29, 2024</w:t>
      </w:r>
    </w:p>
    <w:p>
      <w:pPr>
        <w:spacing w:after="0" w:line="263" w:lineRule="exact"/>
        <w:rPr>
          <w:sz w:val="20"/>
          <w:szCs w:val="20"/>
          <w:color w:val="auto"/>
        </w:rPr>
      </w:pPr>
    </w:p>
    <w:p>
      <w:pPr>
        <w:ind w:left="5640"/>
        <w:spacing w:after="0"/>
        <w:tabs>
          <w:tab w:leader="none" w:pos="6200" w:val="left"/>
        </w:tabs>
        <w:rPr>
          <w:sz w:val="20"/>
          <w:szCs w:val="20"/>
          <w:color w:val="auto"/>
        </w:rPr>
      </w:pPr>
      <w:r>
        <w:rPr>
          <w:rFonts w:ascii="Times New Roman" w:cs="Times New Roman" w:eastAsia="Times New Roman" w:hAnsi="Times New Roman"/>
          <w:sz w:val="18"/>
          <w:szCs w:val="18"/>
          <w:i w:val="1"/>
          <w:iCs w:val="1"/>
          <w:color w:val="auto"/>
        </w:rPr>
        <w:t>By:</w:t>
      </w:r>
      <w:r>
        <w:rPr>
          <w:sz w:val="20"/>
          <w:szCs w:val="20"/>
          <w:color w:val="auto"/>
        </w:rPr>
        <w:tab/>
      </w:r>
      <w:r>
        <w:rPr>
          <w:rFonts w:ascii="Times New Roman" w:cs="Times New Roman" w:eastAsia="Times New Roman" w:hAnsi="Times New Roman"/>
          <w:sz w:val="18"/>
          <w:szCs w:val="18"/>
          <w:i w:val="1"/>
          <w:iCs w:val="1"/>
          <w:color w:val="auto"/>
        </w:rPr>
        <w:t>/s/ Clay C. Williams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3935095</wp:posOffset>
            </wp:positionH>
            <wp:positionV relativeFrom="paragraph">
              <wp:posOffset>27305</wp:posOffset>
            </wp:positionV>
            <wp:extent cx="3202305"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6">
                      <a:extLst>
                        <a:ext uri="{28A0092B-C50C-407E-A947-70E740481C1C}"/>
                      </a:extLst>
                    </a:blip>
                    <a:srcRect/>
                    <a:stretch>
                      <a:fillRect/>
                    </a:stretch>
                  </pic:blipFill>
                  <pic:spPr bwMode="auto">
                    <a:xfrm>
                      <a:off x="0" y="0"/>
                      <a:ext cx="3202305" cy="8255"/>
                    </a:xfrm>
                    <a:prstGeom prst="rect">
                      <a:avLst/>
                    </a:prstGeom>
                    <a:noFill/>
                  </pic:spPr>
                </pic:pic>
              </a:graphicData>
            </a:graphic>
          </wp:anchor>
        </w:drawing>
      </w:r>
    </w:p>
    <w:p>
      <w:pPr>
        <w:spacing w:after="0" w:line="3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Clay C. Williams</w:t>
      </w:r>
    </w:p>
    <w:p>
      <w:pPr>
        <w:spacing w:after="0" w:line="3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Chairman, 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629285</wp:posOffset>
            </wp:positionV>
            <wp:extent cx="7157720" cy="425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34" w:name="page35"/>
    <w:bookmarkEnd w:id="34"/>
    <w:p>
      <w:pPr>
        <w:ind w:left="10260"/>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Jose A. Bayardo, certify that:</w:t>
      </w:r>
    </w:p>
    <w:p>
      <w:pPr>
        <w:spacing w:after="0" w:line="225" w:lineRule="exact"/>
        <w:rPr>
          <w:sz w:val="20"/>
          <w:szCs w:val="20"/>
          <w:color w:val="auto"/>
        </w:rPr>
      </w:pPr>
    </w:p>
    <w:p>
      <w:pPr>
        <w:ind w:left="180" w:hanging="172"/>
        <w:spacing w:after="0"/>
        <w:tabs>
          <w:tab w:leader="none" w:pos="1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NOV Inc.;</w:t>
      </w:r>
    </w:p>
    <w:p>
      <w:pPr>
        <w:spacing w:after="0" w:line="224" w:lineRule="exact"/>
        <w:rPr>
          <w:rFonts w:ascii="Times New Roman" w:cs="Times New Roman" w:eastAsia="Times New Roman" w:hAnsi="Times New Roman"/>
          <w:sz w:val="18"/>
          <w:szCs w:val="18"/>
          <w:color w:val="auto"/>
        </w:rPr>
      </w:pPr>
    </w:p>
    <w:p>
      <w:pPr>
        <w:ind w:firstLine="8"/>
        <w:spacing w:after="0" w:line="281" w:lineRule="auto"/>
        <w:tabs>
          <w:tab w:leader="none" w:pos="202"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2" w:lineRule="exact"/>
        <w:rPr>
          <w:rFonts w:ascii="Times New Roman" w:cs="Times New Roman" w:eastAsia="Times New Roman" w:hAnsi="Times New Roman"/>
          <w:sz w:val="18"/>
          <w:szCs w:val="18"/>
          <w:color w:val="auto"/>
        </w:rPr>
      </w:pPr>
    </w:p>
    <w:p>
      <w:pPr>
        <w:ind w:firstLine="8"/>
        <w:spacing w:after="0" w:line="281" w:lineRule="auto"/>
        <w:tabs>
          <w:tab w:leader="none" w:pos="20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2" w:lineRule="exact"/>
        <w:rPr>
          <w:rFonts w:ascii="Times New Roman" w:cs="Times New Roman" w:eastAsia="Times New Roman" w:hAnsi="Times New Roman"/>
          <w:sz w:val="18"/>
          <w:szCs w:val="18"/>
          <w:color w:val="auto"/>
        </w:rPr>
      </w:pPr>
    </w:p>
    <w:p>
      <w:pPr>
        <w:jc w:val="both"/>
        <w:ind w:firstLine="8"/>
        <w:spacing w:after="0" w:line="265" w:lineRule="auto"/>
        <w:tabs>
          <w:tab w:leader="none" w:pos="181"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7" w:lineRule="exact"/>
        <w:rPr>
          <w:sz w:val="20"/>
          <w:szCs w:val="20"/>
          <w:color w:val="auto"/>
        </w:rPr>
      </w:pPr>
    </w:p>
    <w:p>
      <w:pPr>
        <w:jc w:val="both"/>
        <w:ind w:firstLine="8"/>
        <w:spacing w:after="0" w:line="265" w:lineRule="auto"/>
        <w:tabs>
          <w:tab w:leader="none" w:pos="18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7" w:lineRule="exact"/>
        <w:rPr>
          <w:rFonts w:ascii="Times New Roman" w:cs="Times New Roman" w:eastAsia="Times New Roman" w:hAnsi="Times New Roman"/>
          <w:sz w:val="18"/>
          <w:szCs w:val="18"/>
          <w:color w:val="auto"/>
        </w:rPr>
      </w:pPr>
    </w:p>
    <w:p>
      <w:pPr>
        <w:jc w:val="both"/>
        <w:ind w:firstLine="8"/>
        <w:spacing w:after="0" w:line="265" w:lineRule="auto"/>
        <w:tabs>
          <w:tab w:leader="none" w:pos="2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7" w:lineRule="exact"/>
        <w:rPr>
          <w:rFonts w:ascii="Times New Roman" w:cs="Times New Roman" w:eastAsia="Times New Roman" w:hAnsi="Times New Roman"/>
          <w:sz w:val="18"/>
          <w:szCs w:val="18"/>
          <w:color w:val="auto"/>
        </w:rPr>
      </w:pPr>
    </w:p>
    <w:p>
      <w:pPr>
        <w:ind w:firstLine="8"/>
        <w:spacing w:after="0" w:line="281" w:lineRule="auto"/>
        <w:tabs>
          <w:tab w:leader="none" w:pos="193"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2" w:lineRule="exact"/>
        <w:rPr>
          <w:rFonts w:ascii="Times New Roman" w:cs="Times New Roman" w:eastAsia="Times New Roman" w:hAnsi="Times New Roman"/>
          <w:sz w:val="18"/>
          <w:szCs w:val="18"/>
          <w:color w:val="auto"/>
        </w:rPr>
      </w:pPr>
    </w:p>
    <w:p>
      <w:pPr>
        <w:jc w:val="both"/>
        <w:ind w:firstLine="8"/>
        <w:spacing w:after="0" w:line="265" w:lineRule="auto"/>
        <w:tabs>
          <w:tab w:leader="none" w:pos="212"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7" w:lineRule="exact"/>
        <w:rPr>
          <w:sz w:val="20"/>
          <w:szCs w:val="20"/>
          <w:color w:val="auto"/>
        </w:rPr>
      </w:pPr>
    </w:p>
    <w:p>
      <w:pPr>
        <w:ind w:firstLine="8"/>
        <w:spacing w:after="0" w:line="281" w:lineRule="auto"/>
        <w:tabs>
          <w:tab w:leader="none" w:pos="201"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w:t>
      </w:r>
    </w:p>
    <w:p>
      <w:pPr>
        <w:spacing w:after="0" w:line="163" w:lineRule="exact"/>
        <w:rPr>
          <w:sz w:val="20"/>
          <w:szCs w:val="20"/>
          <w:color w:val="auto"/>
        </w:rPr>
      </w:pPr>
    </w:p>
    <w:p>
      <w:pPr>
        <w:ind w:firstLine="8"/>
        <w:spacing w:after="0" w:line="281" w:lineRule="auto"/>
        <w:tabs>
          <w:tab w:leader="none" w:pos="19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2" w:lineRule="exact"/>
        <w:rPr>
          <w:rFonts w:ascii="Times New Roman" w:cs="Times New Roman" w:eastAsia="Times New Roman" w:hAnsi="Times New Roman"/>
          <w:sz w:val="18"/>
          <w:szCs w:val="18"/>
          <w:color w:val="auto"/>
        </w:rPr>
      </w:pPr>
    </w:p>
    <w:p>
      <w:pPr>
        <w:ind w:firstLine="8"/>
        <w:spacing w:after="0" w:line="281" w:lineRule="auto"/>
        <w:tabs>
          <w:tab w:leader="none" w:pos="209"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July 29, 2024</w:t>
      </w:r>
    </w:p>
    <w:p>
      <w:pPr>
        <w:spacing w:after="0" w:line="263" w:lineRule="exact"/>
        <w:rPr>
          <w:sz w:val="20"/>
          <w:szCs w:val="20"/>
          <w:color w:val="auto"/>
        </w:rPr>
      </w:pPr>
    </w:p>
    <w:p>
      <w:pPr>
        <w:ind w:left="5640"/>
        <w:spacing w:after="0"/>
        <w:tabs>
          <w:tab w:leader="none" w:pos="6200" w:val="left"/>
        </w:tabs>
        <w:rPr>
          <w:sz w:val="20"/>
          <w:szCs w:val="20"/>
          <w:color w:val="auto"/>
        </w:rPr>
      </w:pPr>
      <w:r>
        <w:rPr>
          <w:rFonts w:ascii="Times New Roman" w:cs="Times New Roman" w:eastAsia="Times New Roman" w:hAnsi="Times New Roman"/>
          <w:sz w:val="18"/>
          <w:szCs w:val="18"/>
          <w:i w:val="1"/>
          <w:iCs w:val="1"/>
          <w:color w:val="auto"/>
        </w:rPr>
        <w:t>By:</w:t>
      </w:r>
      <w:r>
        <w:rPr>
          <w:sz w:val="20"/>
          <w:szCs w:val="20"/>
          <w:color w:val="auto"/>
        </w:rPr>
        <w:tab/>
      </w:r>
      <w:r>
        <w:rPr>
          <w:rFonts w:ascii="Times New Roman" w:cs="Times New Roman" w:eastAsia="Times New Roman" w:hAnsi="Times New Roman"/>
          <w:sz w:val="18"/>
          <w:szCs w:val="18"/>
          <w:i w:val="1"/>
          <w:iCs w:val="1"/>
          <w:color w:val="auto"/>
        </w:rPr>
        <w:t>/s/ Jose A. Bayardo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3935095</wp:posOffset>
            </wp:positionH>
            <wp:positionV relativeFrom="paragraph">
              <wp:posOffset>27305</wp:posOffset>
            </wp:positionV>
            <wp:extent cx="3202305"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8">
                      <a:extLst>
                        <a:ext uri="{28A0092B-C50C-407E-A947-70E740481C1C}"/>
                      </a:extLst>
                    </a:blip>
                    <a:srcRect/>
                    <a:stretch>
                      <a:fillRect/>
                    </a:stretch>
                  </pic:blipFill>
                  <pic:spPr bwMode="auto">
                    <a:xfrm>
                      <a:off x="0" y="0"/>
                      <a:ext cx="3202305" cy="8255"/>
                    </a:xfrm>
                    <a:prstGeom prst="rect">
                      <a:avLst/>
                    </a:prstGeom>
                    <a:noFill/>
                  </pic:spPr>
                </pic:pic>
              </a:graphicData>
            </a:graphic>
          </wp:anchor>
        </w:drawing>
      </w:r>
    </w:p>
    <w:p>
      <w:pPr>
        <w:spacing w:after="0" w:line="3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Jose A. Bayardo</w:t>
      </w:r>
    </w:p>
    <w:p>
      <w:pPr>
        <w:spacing w:after="0" w:line="3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629285</wp:posOffset>
            </wp:positionV>
            <wp:extent cx="7157720" cy="425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35" w:name="page36"/>
    <w:bookmarkEnd w:id="35"/>
    <w:p>
      <w:pPr>
        <w:ind w:left="10260"/>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CERTIFICATION PURSUANT TO SECTION 906 OF THE SARBANES-OXLEY ACT OF 2002</w:t>
      </w:r>
    </w:p>
    <w:p>
      <w:pPr>
        <w:spacing w:after="0" w:line="22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In connection with the Quarterly Report of NOV Inc. (the “Company”) on Form 10-Q for the period ending June 30, 2024 as filed with the Securities and Exchange Commission on the date hereof (the “Report”), the undersigned, Clay C. Williams, Chairman, President and Chief Executive Officer of the Company, hereby certifies, pursuant to 18 U.S.C. Section 1350, as adopted pursuant to Section 906 of the Sarbanes-Oxley Act of 2002, that:</w:t>
      </w:r>
    </w:p>
    <w:p>
      <w:pPr>
        <w:spacing w:after="0" w:line="177" w:lineRule="exact"/>
        <w:rPr>
          <w:sz w:val="20"/>
          <w:szCs w:val="20"/>
          <w:color w:val="auto"/>
        </w:rPr>
      </w:pPr>
    </w:p>
    <w:p>
      <w:pPr>
        <w:ind w:left="220" w:hanging="212"/>
        <w:spacing w:after="0"/>
        <w:tabs>
          <w:tab w:leader="none" w:pos="2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4" w:lineRule="exact"/>
        <w:rPr>
          <w:rFonts w:ascii="Times New Roman" w:cs="Times New Roman" w:eastAsia="Times New Roman" w:hAnsi="Times New Roman"/>
          <w:sz w:val="18"/>
          <w:szCs w:val="18"/>
          <w:color w:val="auto"/>
        </w:rPr>
      </w:pPr>
    </w:p>
    <w:p>
      <w:pPr>
        <w:ind w:right="540" w:firstLine="8"/>
        <w:spacing w:after="0" w:line="522" w:lineRule="auto"/>
        <w:tabs>
          <w:tab w:leader="none" w:pos="26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The certification is given to the knowledge of the undersigned.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7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By:</w:t>
            </w:r>
          </w:p>
        </w:tc>
        <w:tc>
          <w:tcPr>
            <w:tcW w:w="4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/s/ Clay C. Williams</w:t>
            </w:r>
          </w:p>
        </w:tc>
        <w:tc>
          <w:tcPr>
            <w:tcW w:w="5620" w:type="dxa"/>
            <w:vAlign w:val="bottom"/>
          </w:tcPr>
          <w:p>
            <w:pPr>
              <w:spacing w:after="0"/>
              <w:rPr>
                <w:sz w:val="21"/>
                <w:szCs w:val="21"/>
                <w:color w:val="auto"/>
              </w:rPr>
            </w:pPr>
          </w:p>
        </w:tc>
      </w:tr>
      <w:tr>
        <w:trPr>
          <w:trHeight w:val="228"/>
        </w:trPr>
        <w:tc>
          <w:tcPr>
            <w:tcW w:w="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Clay C. Williams</w:t>
            </w:r>
          </w:p>
        </w:tc>
        <w:tc>
          <w:tcPr>
            <w:tcW w:w="5620" w:type="dxa"/>
            <w:vAlign w:val="bottom"/>
          </w:tcPr>
          <w:p>
            <w:pPr>
              <w:spacing w:after="0"/>
              <w:rPr>
                <w:sz w:val="19"/>
                <w:szCs w:val="19"/>
                <w:color w:val="auto"/>
              </w:rPr>
            </w:pPr>
          </w:p>
        </w:tc>
      </w:tr>
      <w:tr>
        <w:trPr>
          <w:trHeight w:val="238"/>
        </w:trPr>
        <w:tc>
          <w:tcPr>
            <w:tcW w:w="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Chairman, President and Chief Executive Officer</w:t>
            </w:r>
          </w:p>
        </w:tc>
        <w:tc>
          <w:tcPr>
            <w:tcW w:w="5620" w:type="dxa"/>
            <w:vAlign w:val="bottom"/>
          </w:tcPr>
          <w:p>
            <w:pPr>
              <w:spacing w:after="0"/>
              <w:rPr>
                <w:sz w:val="20"/>
                <w:szCs w:val="20"/>
                <w:color w:val="auto"/>
              </w:rPr>
            </w:pPr>
          </w:p>
        </w:tc>
      </w:tr>
      <w:tr>
        <w:trPr>
          <w:trHeight w:val="243"/>
        </w:trPr>
        <w:tc>
          <w:tcPr>
            <w:tcW w:w="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w:t>
            </w:r>
          </w:p>
        </w:tc>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July 29, 2024</w:t>
            </w:r>
          </w:p>
        </w:tc>
        <w:tc>
          <w:tcPr>
            <w:tcW w:w="5620" w:type="dxa"/>
            <w:vAlign w:val="bottom"/>
          </w:tcPr>
          <w:p>
            <w:pPr>
              <w:spacing w:after="0"/>
              <w:rPr>
                <w:sz w:val="21"/>
                <w:szCs w:val="21"/>
                <w:color w:val="auto"/>
              </w:rPr>
            </w:pPr>
          </w:p>
        </w:tc>
      </w:tr>
      <w:tr>
        <w:trPr>
          <w:trHeight w:val="991"/>
        </w:trPr>
        <w:tc>
          <w:tcPr>
            <w:tcW w:w="760" w:type="dxa"/>
            <w:vAlign w:val="bottom"/>
            <w:tcBorders>
              <w:bottom w:val="single" w:sz="8" w:color="9A9A9A"/>
            </w:tcBorders>
          </w:tcPr>
          <w:p>
            <w:pPr>
              <w:spacing w:after="0"/>
              <w:rPr>
                <w:sz w:val="24"/>
                <w:szCs w:val="24"/>
                <w:color w:val="auto"/>
              </w:rPr>
            </w:pPr>
          </w:p>
        </w:tc>
        <w:tc>
          <w:tcPr>
            <w:tcW w:w="4860" w:type="dxa"/>
            <w:vAlign w:val="bottom"/>
            <w:tcBorders>
              <w:bottom w:val="single" w:sz="8" w:color="9A9A9A"/>
            </w:tcBorders>
          </w:tcPr>
          <w:p>
            <w:pPr>
              <w:spacing w:after="0"/>
              <w:rPr>
                <w:sz w:val="24"/>
                <w:szCs w:val="24"/>
                <w:color w:val="auto"/>
              </w:rPr>
            </w:pPr>
          </w:p>
        </w:tc>
        <w:tc>
          <w:tcPr>
            <w:tcW w:w="56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1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36" w:name="page37"/>
    <w:bookmarkEnd w:id="36"/>
    <w:p>
      <w:pPr>
        <w:ind w:left="10260"/>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CERTIFICATION PURSUANT TO SECTION 906 OF THE SARBANES-OXLEY ACT OF 2002</w:t>
      </w:r>
    </w:p>
    <w:p>
      <w:pPr>
        <w:spacing w:after="0" w:line="22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In connection with the Quarterly Report of NOV Inc. (the “Company”) on Form 10-Q for the period ending June 30, 2024 as filed with the Securities and Exchange Commission on the date hereof (the “Report”), the undersigned, Jose A. Bayardo, Senior Vice President and Chief Financial Officer of the Company, hereby certifies, pursuant to 18 U.S.C. Section 1350, as adopted pursuant to Section 906 of the Sarbanes-Oxley Act of 2002, that:</w:t>
      </w:r>
    </w:p>
    <w:p>
      <w:pPr>
        <w:spacing w:after="0" w:line="177" w:lineRule="exact"/>
        <w:rPr>
          <w:sz w:val="20"/>
          <w:szCs w:val="20"/>
          <w:color w:val="auto"/>
        </w:rPr>
      </w:pPr>
    </w:p>
    <w:p>
      <w:pPr>
        <w:ind w:left="220" w:hanging="212"/>
        <w:spacing w:after="0"/>
        <w:tabs>
          <w:tab w:leader="none" w:pos="2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4" w:lineRule="exact"/>
        <w:rPr>
          <w:rFonts w:ascii="Times New Roman" w:cs="Times New Roman" w:eastAsia="Times New Roman" w:hAnsi="Times New Roman"/>
          <w:sz w:val="18"/>
          <w:szCs w:val="18"/>
          <w:color w:val="auto"/>
        </w:rPr>
      </w:pPr>
    </w:p>
    <w:p>
      <w:pPr>
        <w:ind w:right="540" w:firstLine="8"/>
        <w:spacing w:after="0" w:line="522" w:lineRule="auto"/>
        <w:tabs>
          <w:tab w:leader="none" w:pos="26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The certification is given to the knowledge of the undersigned.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7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By:</w:t>
            </w:r>
          </w:p>
        </w:tc>
        <w:tc>
          <w:tcPr>
            <w:tcW w:w="4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/s/ Jose A. Bayardo</w:t>
            </w:r>
          </w:p>
        </w:tc>
        <w:tc>
          <w:tcPr>
            <w:tcW w:w="5620" w:type="dxa"/>
            <w:vAlign w:val="bottom"/>
          </w:tcPr>
          <w:p>
            <w:pPr>
              <w:spacing w:after="0"/>
              <w:rPr>
                <w:sz w:val="21"/>
                <w:szCs w:val="21"/>
                <w:color w:val="auto"/>
              </w:rPr>
            </w:pPr>
          </w:p>
        </w:tc>
      </w:tr>
      <w:tr>
        <w:trPr>
          <w:trHeight w:val="228"/>
        </w:trPr>
        <w:tc>
          <w:tcPr>
            <w:tcW w:w="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Jose A. Bayardo</w:t>
            </w:r>
          </w:p>
        </w:tc>
        <w:tc>
          <w:tcPr>
            <w:tcW w:w="5620" w:type="dxa"/>
            <w:vAlign w:val="bottom"/>
          </w:tcPr>
          <w:p>
            <w:pPr>
              <w:spacing w:after="0"/>
              <w:rPr>
                <w:sz w:val="19"/>
                <w:szCs w:val="19"/>
                <w:color w:val="auto"/>
              </w:rPr>
            </w:pPr>
          </w:p>
        </w:tc>
      </w:tr>
      <w:tr>
        <w:trPr>
          <w:trHeight w:val="238"/>
        </w:trPr>
        <w:tc>
          <w:tcPr>
            <w:tcW w:w="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tc>
        <w:tc>
          <w:tcPr>
            <w:tcW w:w="5620" w:type="dxa"/>
            <w:vAlign w:val="bottom"/>
          </w:tcPr>
          <w:p>
            <w:pPr>
              <w:spacing w:after="0"/>
              <w:rPr>
                <w:sz w:val="20"/>
                <w:szCs w:val="20"/>
                <w:color w:val="auto"/>
              </w:rPr>
            </w:pPr>
          </w:p>
        </w:tc>
      </w:tr>
      <w:tr>
        <w:trPr>
          <w:trHeight w:val="243"/>
        </w:trPr>
        <w:tc>
          <w:tcPr>
            <w:tcW w:w="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w:t>
            </w:r>
          </w:p>
        </w:tc>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July 29, 2024</w:t>
            </w:r>
          </w:p>
        </w:tc>
        <w:tc>
          <w:tcPr>
            <w:tcW w:w="5620" w:type="dxa"/>
            <w:vAlign w:val="bottom"/>
          </w:tcPr>
          <w:p>
            <w:pPr>
              <w:spacing w:after="0"/>
              <w:rPr>
                <w:sz w:val="21"/>
                <w:szCs w:val="21"/>
                <w:color w:val="auto"/>
              </w:rPr>
            </w:pPr>
          </w:p>
        </w:tc>
      </w:tr>
      <w:tr>
        <w:trPr>
          <w:trHeight w:val="991"/>
        </w:trPr>
        <w:tc>
          <w:tcPr>
            <w:tcW w:w="760" w:type="dxa"/>
            <w:vAlign w:val="bottom"/>
            <w:tcBorders>
              <w:bottom w:val="single" w:sz="8" w:color="9A9A9A"/>
            </w:tcBorders>
          </w:tcPr>
          <w:p>
            <w:pPr>
              <w:spacing w:after="0"/>
              <w:rPr>
                <w:sz w:val="24"/>
                <w:szCs w:val="24"/>
                <w:color w:val="auto"/>
              </w:rPr>
            </w:pPr>
          </w:p>
        </w:tc>
        <w:tc>
          <w:tcPr>
            <w:tcW w:w="4860" w:type="dxa"/>
            <w:vAlign w:val="bottom"/>
            <w:tcBorders>
              <w:bottom w:val="single" w:sz="8" w:color="9A9A9A"/>
            </w:tcBorders>
          </w:tcPr>
          <w:p>
            <w:pPr>
              <w:spacing w:after="0"/>
              <w:rPr>
                <w:sz w:val="24"/>
                <w:szCs w:val="24"/>
                <w:color w:val="auto"/>
              </w:rPr>
            </w:pPr>
          </w:p>
        </w:tc>
        <w:tc>
          <w:tcPr>
            <w:tcW w:w="56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37" w:name="page38"/>
    <w:bookmarkEnd w:id="37"/>
    <w:p>
      <w:pPr>
        <w:ind w:left="10400"/>
        <w:spacing w:after="0"/>
        <w:rPr>
          <w:sz w:val="20"/>
          <w:szCs w:val="20"/>
          <w:color w:val="auto"/>
        </w:rPr>
      </w:pPr>
      <w:r>
        <w:rPr>
          <w:rFonts w:ascii="Times New Roman" w:cs="Times New Roman" w:eastAsia="Times New Roman" w:hAnsi="Times New Roman"/>
          <w:sz w:val="18"/>
          <w:szCs w:val="18"/>
          <w:b w:val="1"/>
          <w:bCs w:val="1"/>
          <w:color w:val="auto"/>
        </w:rPr>
        <w:t>Exhibit 95</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Mine Safety Disclosures</w:t>
      </w:r>
    </w:p>
    <w:p>
      <w:pPr>
        <w:spacing w:after="0" w:line="117"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Our mines are operated subject to the regulation of the Federal Mine Safety and Health Administration (“MSHA”), under the Federal Mine Safety and Health Act of 1977 (the “Mine Act”). The following mine safety data is provided pursuant to the Dodd-Frank Wall Street Reform and Consumer Protection Act (the “Dodd-Frank Act”).</w:t>
      </w:r>
    </w:p>
    <w:p>
      <w:pPr>
        <w:spacing w:after="0" w:line="177" w:lineRule="exact"/>
        <w:rPr>
          <w:sz w:val="20"/>
          <w:szCs w:val="20"/>
          <w:color w:val="auto"/>
        </w:rPr>
      </w:pPr>
    </w:p>
    <w:p>
      <w:pPr>
        <w:ind w:right="320"/>
        <w:spacing w:after="0" w:line="281" w:lineRule="auto"/>
        <w:rPr>
          <w:sz w:val="20"/>
          <w:szCs w:val="20"/>
          <w:color w:val="auto"/>
        </w:rPr>
      </w:pPr>
      <w:r>
        <w:rPr>
          <w:rFonts w:ascii="Times New Roman" w:cs="Times New Roman" w:eastAsia="Times New Roman" w:hAnsi="Times New Roman"/>
          <w:sz w:val="18"/>
          <w:szCs w:val="18"/>
          <w:color w:val="auto"/>
        </w:rPr>
        <w:t>As required by the reporting requirements of the Dodd-Frank Act, as amended, the table below presents the following information for the quarter ended June 30, 2024. (in whole dollars) (Unaudited)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Received</w:t>
            </w: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2"/>
        </w:trPr>
        <w:tc>
          <w:tcPr>
            <w:tcW w:w="1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Received</w:t>
            </w:r>
          </w:p>
        </w:tc>
        <w:tc>
          <w:tcPr>
            <w:tcW w:w="10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Notice of</w:t>
            </w:r>
          </w:p>
        </w:tc>
        <w:tc>
          <w:tcPr>
            <w:tcW w:w="10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Legal</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2"/>
        </w:trPr>
        <w:tc>
          <w:tcPr>
            <w:tcW w:w="1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Notice of</w:t>
            </w:r>
          </w:p>
        </w:tc>
        <w:tc>
          <w:tcPr>
            <w:tcW w:w="10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Potential</w:t>
            </w:r>
          </w:p>
        </w:tc>
        <w:tc>
          <w:tcPr>
            <w:tcW w:w="10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Actions</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2"/>
        </w:trPr>
        <w:tc>
          <w:tcPr>
            <w:tcW w:w="1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Section</w:t>
            </w: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center"/>
              <w:ind w:right="17"/>
              <w:spacing w:after="0"/>
              <w:rPr>
                <w:sz w:val="20"/>
                <w:szCs w:val="20"/>
                <w:color w:val="auto"/>
              </w:rPr>
            </w:pPr>
            <w:r>
              <w:rPr>
                <w:rFonts w:ascii="Times New Roman" w:cs="Times New Roman" w:eastAsia="Times New Roman" w:hAnsi="Times New Roman"/>
                <w:sz w:val="13"/>
                <w:szCs w:val="13"/>
                <w:b w:val="1"/>
                <w:bCs w:val="1"/>
                <w:color w:val="auto"/>
                <w:w w:val="93"/>
              </w:rPr>
              <w:t>Total Dollar</w:t>
            </w:r>
          </w:p>
        </w:tc>
        <w:tc>
          <w:tcPr>
            <w:tcW w:w="22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12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Pattern of</w:t>
            </w:r>
          </w:p>
        </w:tc>
        <w:tc>
          <w:tcPr>
            <w:tcW w:w="10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to have</w:t>
            </w:r>
          </w:p>
        </w:tc>
        <w:tc>
          <w:tcPr>
            <w:tcW w:w="10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Pending</w:t>
            </w:r>
          </w:p>
        </w:tc>
        <w:tc>
          <w:tcPr>
            <w:tcW w:w="10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Legal</w:t>
            </w:r>
          </w:p>
        </w:tc>
        <w:tc>
          <w:tcPr>
            <w:tcW w:w="12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Legal</w:t>
            </w:r>
          </w:p>
        </w:tc>
      </w:tr>
      <w:tr>
        <w:trPr>
          <w:trHeight w:val="162"/>
        </w:trPr>
        <w:tc>
          <w:tcPr>
            <w:tcW w:w="1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3"/>
              </w:rPr>
              <w:t>Section</w:t>
            </w: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104(d)</w:t>
            </w: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center"/>
              <w:ind w:right="17"/>
              <w:spacing w:after="0"/>
              <w:rPr>
                <w:sz w:val="20"/>
                <w:szCs w:val="20"/>
                <w:color w:val="auto"/>
              </w:rPr>
            </w:pPr>
            <w:r>
              <w:rPr>
                <w:rFonts w:ascii="Times New Roman" w:cs="Times New Roman" w:eastAsia="Times New Roman" w:hAnsi="Times New Roman"/>
                <w:sz w:val="13"/>
                <w:szCs w:val="13"/>
                <w:b w:val="1"/>
                <w:bCs w:val="1"/>
                <w:color w:val="auto"/>
                <w:w w:val="94"/>
              </w:rPr>
              <w:t>Value of</w:t>
            </w:r>
          </w:p>
        </w:tc>
        <w:tc>
          <w:tcPr>
            <w:tcW w:w="22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Number</w:t>
            </w:r>
          </w:p>
        </w:tc>
        <w:tc>
          <w:tcPr>
            <w:tcW w:w="12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Violations</w:t>
            </w:r>
          </w:p>
        </w:tc>
        <w:tc>
          <w:tcPr>
            <w:tcW w:w="10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Patterns</w:t>
            </w:r>
          </w:p>
        </w:tc>
        <w:tc>
          <w:tcPr>
            <w:tcW w:w="10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as of</w:t>
            </w:r>
          </w:p>
        </w:tc>
        <w:tc>
          <w:tcPr>
            <w:tcW w:w="10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Actions</w:t>
            </w:r>
          </w:p>
        </w:tc>
        <w:tc>
          <w:tcPr>
            <w:tcW w:w="12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Actions</w:t>
            </w:r>
          </w:p>
        </w:tc>
      </w:tr>
      <w:tr>
        <w:trPr>
          <w:trHeight w:val="162"/>
        </w:trPr>
        <w:tc>
          <w:tcPr>
            <w:tcW w:w="1720" w:type="dxa"/>
            <w:vAlign w:val="bottom"/>
          </w:tcPr>
          <w:p>
            <w:pPr>
              <w:spacing w:after="0"/>
              <w:rPr>
                <w:sz w:val="14"/>
                <w:szCs w:val="14"/>
                <w:color w:val="auto"/>
              </w:rPr>
            </w:pPr>
          </w:p>
        </w:tc>
        <w:tc>
          <w:tcPr>
            <w:tcW w:w="780" w:type="dxa"/>
            <w:vAlign w:val="bottom"/>
            <w:gridSpan w:val="2"/>
          </w:tcPr>
          <w:p>
            <w:pPr>
              <w:jc w:val="center"/>
              <w:ind w:left="57"/>
              <w:spacing w:after="0"/>
              <w:rPr>
                <w:sz w:val="20"/>
                <w:szCs w:val="20"/>
                <w:color w:val="auto"/>
              </w:rPr>
            </w:pPr>
            <w:r>
              <w:rPr>
                <w:rFonts w:ascii="Times New Roman" w:cs="Times New Roman" w:eastAsia="Times New Roman" w:hAnsi="Times New Roman"/>
                <w:sz w:val="13"/>
                <w:szCs w:val="13"/>
                <w:b w:val="1"/>
                <w:bCs w:val="1"/>
                <w:color w:val="auto"/>
                <w:w w:val="92"/>
              </w:rPr>
              <w:t>104</w:t>
            </w:r>
          </w:p>
        </w:tc>
        <w:tc>
          <w:tcPr>
            <w:tcW w:w="12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Section</w:t>
            </w:r>
          </w:p>
        </w:tc>
        <w:tc>
          <w:tcPr>
            <w:tcW w:w="12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Citations</w:t>
            </w:r>
          </w:p>
        </w:tc>
        <w:tc>
          <w:tcPr>
            <w:tcW w:w="12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Section</w:t>
            </w:r>
          </w:p>
        </w:tc>
        <w:tc>
          <w:tcPr>
            <w:tcW w:w="14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Section</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MSHA</w:t>
            </w:r>
          </w:p>
        </w:tc>
        <w:tc>
          <w:tcPr>
            <w:tcW w:w="22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of Mining</w:t>
            </w:r>
          </w:p>
        </w:tc>
        <w:tc>
          <w:tcPr>
            <w:tcW w:w="12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Under</w:t>
            </w:r>
          </w:p>
        </w:tc>
        <w:tc>
          <w:tcPr>
            <w:tcW w:w="10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Under</w:t>
            </w:r>
          </w:p>
        </w:tc>
        <w:tc>
          <w:tcPr>
            <w:tcW w:w="10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Last</w:t>
            </w:r>
          </w:p>
        </w:tc>
        <w:tc>
          <w:tcPr>
            <w:tcW w:w="10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Initiated</w:t>
            </w:r>
          </w:p>
        </w:tc>
        <w:tc>
          <w:tcPr>
            <w:tcW w:w="12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Resolved</w:t>
            </w:r>
          </w:p>
        </w:tc>
      </w:tr>
      <w:tr>
        <w:trPr>
          <w:trHeight w:val="162"/>
        </w:trPr>
        <w:tc>
          <w:tcPr>
            <w:tcW w:w="1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S&amp;S</w:t>
            </w:r>
          </w:p>
        </w:tc>
        <w:tc>
          <w:tcPr>
            <w:tcW w:w="12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104(b)</w:t>
            </w:r>
          </w:p>
        </w:tc>
        <w:tc>
          <w:tcPr>
            <w:tcW w:w="12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and</w:t>
            </w:r>
          </w:p>
        </w:tc>
        <w:tc>
          <w:tcPr>
            <w:tcW w:w="12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110(b)(2)</w:t>
            </w:r>
          </w:p>
        </w:tc>
        <w:tc>
          <w:tcPr>
            <w:tcW w:w="14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107(a)</w:t>
            </w:r>
          </w:p>
        </w:tc>
        <w:tc>
          <w:tcPr>
            <w:tcW w:w="100" w:type="dxa"/>
            <w:vAlign w:val="bottom"/>
          </w:tcPr>
          <w:p>
            <w:pPr>
              <w:spacing w:after="0"/>
              <w:rPr>
                <w:sz w:val="14"/>
                <w:szCs w:val="14"/>
                <w:color w:val="auto"/>
              </w:rPr>
            </w:pPr>
          </w:p>
        </w:tc>
        <w:tc>
          <w:tcPr>
            <w:tcW w:w="80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Assessments</w:t>
            </w:r>
          </w:p>
        </w:tc>
        <w:tc>
          <w:tcPr>
            <w:tcW w:w="22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Related</w:t>
            </w:r>
          </w:p>
        </w:tc>
        <w:tc>
          <w:tcPr>
            <w:tcW w:w="12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Section</w:t>
            </w:r>
          </w:p>
        </w:tc>
        <w:tc>
          <w:tcPr>
            <w:tcW w:w="10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3"/>
              </w:rPr>
              <w:t>Section</w:t>
            </w:r>
          </w:p>
        </w:tc>
        <w:tc>
          <w:tcPr>
            <w:tcW w:w="10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3"/>
              </w:rPr>
              <w:t>Day of</w:t>
            </w:r>
          </w:p>
        </w:tc>
        <w:tc>
          <w:tcPr>
            <w:tcW w:w="10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During</w:t>
            </w:r>
          </w:p>
        </w:tc>
        <w:tc>
          <w:tcPr>
            <w:tcW w:w="12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During</w:t>
            </w:r>
          </w:p>
        </w:tc>
      </w:tr>
      <w:tr>
        <w:trPr>
          <w:trHeight w:val="166"/>
        </w:trPr>
        <w:tc>
          <w:tcPr>
            <w:tcW w:w="1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Mine</w:t>
            </w:r>
          </w:p>
        </w:tc>
        <w:tc>
          <w:tcPr>
            <w:tcW w:w="120" w:type="dxa"/>
            <w:vAlign w:val="bottom"/>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Citations</w:t>
            </w:r>
          </w:p>
        </w:tc>
        <w:tc>
          <w:tcPr>
            <w:tcW w:w="120" w:type="dxa"/>
            <w:vAlign w:val="bottom"/>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Orders</w:t>
            </w:r>
          </w:p>
        </w:tc>
        <w:tc>
          <w:tcPr>
            <w:tcW w:w="120" w:type="dxa"/>
            <w:vAlign w:val="bottom"/>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Orders</w:t>
            </w:r>
          </w:p>
        </w:tc>
        <w:tc>
          <w:tcPr>
            <w:tcW w:w="120" w:type="dxa"/>
            <w:vAlign w:val="bottom"/>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Violations</w:t>
            </w:r>
          </w:p>
        </w:tc>
        <w:tc>
          <w:tcPr>
            <w:tcW w:w="140" w:type="dxa"/>
            <w:vAlign w:val="bottom"/>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Orders</w:t>
            </w:r>
          </w:p>
        </w:tc>
        <w:tc>
          <w:tcPr>
            <w:tcW w:w="1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Proposed</w:t>
            </w:r>
          </w:p>
        </w:tc>
        <w:tc>
          <w:tcPr>
            <w:tcW w:w="220" w:type="dxa"/>
            <w:vAlign w:val="bottom"/>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Fatalities</w:t>
            </w:r>
          </w:p>
        </w:tc>
        <w:tc>
          <w:tcPr>
            <w:tcW w:w="120" w:type="dxa"/>
            <w:vAlign w:val="bottom"/>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104(e)</w:t>
            </w:r>
          </w:p>
        </w:tc>
        <w:tc>
          <w:tcPr>
            <w:tcW w:w="100" w:type="dxa"/>
            <w:vAlign w:val="bottom"/>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104(e)</w:t>
            </w:r>
          </w:p>
        </w:tc>
        <w:tc>
          <w:tcPr>
            <w:tcW w:w="100" w:type="dxa"/>
            <w:vAlign w:val="bottom"/>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Period</w:t>
            </w:r>
          </w:p>
        </w:tc>
        <w:tc>
          <w:tcPr>
            <w:tcW w:w="100" w:type="dxa"/>
            <w:vAlign w:val="bottom"/>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Period</w:t>
            </w:r>
          </w:p>
        </w:tc>
        <w:tc>
          <w:tcPr>
            <w:tcW w:w="120" w:type="dxa"/>
            <w:vAlign w:val="bottom"/>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Period</w:t>
            </w:r>
          </w:p>
        </w:tc>
      </w:tr>
      <w:tr>
        <w:trPr>
          <w:trHeight w:val="160"/>
        </w:trPr>
        <w:tc>
          <w:tcPr>
            <w:tcW w:w="17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Dry Creek (26-02646)</w:t>
            </w:r>
          </w:p>
        </w:tc>
        <w:tc>
          <w:tcPr>
            <w:tcW w:w="120" w:type="dxa"/>
            <w:vAlign w:val="bottom"/>
          </w:tcPr>
          <w:p>
            <w:pPr>
              <w:spacing w:after="0"/>
              <w:rPr>
                <w:sz w:val="13"/>
                <w:szCs w:val="13"/>
                <w:color w:val="auto"/>
              </w:rPr>
            </w:pPr>
          </w:p>
        </w:tc>
        <w:tc>
          <w:tcPr>
            <w:tcW w:w="660" w:type="dxa"/>
            <w:vAlign w:val="bottom"/>
          </w:tcPr>
          <w:p>
            <w:pPr>
              <w:ind w:left="520"/>
              <w:spacing w:after="0"/>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tcPr>
          <w:p>
            <w:pPr>
              <w:spacing w:after="0"/>
              <w:rPr>
                <w:sz w:val="13"/>
                <w:szCs w:val="13"/>
                <w:color w:val="auto"/>
              </w:rPr>
            </w:pPr>
          </w:p>
        </w:tc>
        <w:tc>
          <w:tcPr>
            <w:tcW w:w="660" w:type="dxa"/>
            <w:vAlign w:val="bottom"/>
          </w:tcPr>
          <w:p>
            <w:pPr>
              <w:ind w:left="520"/>
              <w:spacing w:after="0"/>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tcPr>
          <w:p>
            <w:pPr>
              <w:spacing w:after="0"/>
              <w:rPr>
                <w:sz w:val="13"/>
                <w:szCs w:val="13"/>
                <w:color w:val="auto"/>
              </w:rPr>
            </w:pPr>
          </w:p>
        </w:tc>
        <w:tc>
          <w:tcPr>
            <w:tcW w:w="660" w:type="dxa"/>
            <w:vAlign w:val="bottom"/>
          </w:tcPr>
          <w:p>
            <w:pPr>
              <w:ind w:left="520"/>
              <w:spacing w:after="0"/>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tcPr>
          <w:p>
            <w:pPr>
              <w:spacing w:after="0"/>
              <w:rPr>
                <w:sz w:val="13"/>
                <w:szCs w:val="13"/>
                <w:color w:val="auto"/>
              </w:rPr>
            </w:pPr>
          </w:p>
        </w:tc>
        <w:tc>
          <w:tcPr>
            <w:tcW w:w="700" w:type="dxa"/>
            <w:vAlign w:val="bottom"/>
          </w:tcPr>
          <w:p>
            <w:pPr>
              <w:ind w:left="580"/>
              <w:spacing w:after="0"/>
              <w:rPr>
                <w:sz w:val="20"/>
                <w:szCs w:val="20"/>
                <w:color w:val="auto"/>
              </w:rPr>
            </w:pPr>
            <w:r>
              <w:rPr>
                <w:rFonts w:ascii="Times New Roman" w:cs="Times New Roman" w:eastAsia="Times New Roman" w:hAnsi="Times New Roman"/>
                <w:sz w:val="13"/>
                <w:szCs w:val="13"/>
                <w:color w:val="auto"/>
                <w:w w:val="76"/>
              </w:rPr>
              <w:t>—</w:t>
            </w:r>
          </w:p>
        </w:tc>
        <w:tc>
          <w:tcPr>
            <w:tcW w:w="140" w:type="dxa"/>
            <w:vAlign w:val="bottom"/>
          </w:tcPr>
          <w:p>
            <w:pPr>
              <w:spacing w:after="0"/>
              <w:rPr>
                <w:sz w:val="13"/>
                <w:szCs w:val="13"/>
                <w:color w:val="auto"/>
              </w:rPr>
            </w:pPr>
          </w:p>
        </w:tc>
        <w:tc>
          <w:tcPr>
            <w:tcW w:w="660" w:type="dxa"/>
            <w:vAlign w:val="bottom"/>
          </w:tcPr>
          <w:p>
            <w:pPr>
              <w:ind w:left="520"/>
              <w:spacing w:after="0"/>
              <w:rPr>
                <w:sz w:val="20"/>
                <w:szCs w:val="20"/>
                <w:color w:val="auto"/>
              </w:rPr>
            </w:pPr>
            <w:r>
              <w:rPr>
                <w:rFonts w:ascii="Times New Roman" w:cs="Times New Roman" w:eastAsia="Times New Roman" w:hAnsi="Times New Roman"/>
                <w:sz w:val="13"/>
                <w:szCs w:val="13"/>
                <w:color w:val="auto"/>
                <w:w w:val="91"/>
              </w:rPr>
              <w:t>—</w:t>
            </w:r>
          </w:p>
        </w:tc>
        <w:tc>
          <w:tcPr>
            <w:tcW w:w="10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Pr>
          <w:p>
            <w:pPr>
              <w:ind w:left="580"/>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tcPr>
          <w:p>
            <w:pPr>
              <w:spacing w:after="0"/>
              <w:rPr>
                <w:sz w:val="13"/>
                <w:szCs w:val="13"/>
                <w:color w:val="auto"/>
              </w:rPr>
            </w:pPr>
          </w:p>
        </w:tc>
        <w:tc>
          <w:tcPr>
            <w:tcW w:w="660" w:type="dxa"/>
            <w:vAlign w:val="bottom"/>
          </w:tcPr>
          <w:p>
            <w:pPr>
              <w:ind w:left="520"/>
              <w:spacing w:after="0"/>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tcPr>
          <w:p>
            <w:pPr>
              <w:spacing w:after="0"/>
              <w:rPr>
                <w:sz w:val="13"/>
                <w:szCs w:val="13"/>
                <w:color w:val="auto"/>
              </w:rPr>
            </w:pPr>
          </w:p>
        </w:tc>
        <w:tc>
          <w:tcPr>
            <w:tcW w:w="680" w:type="dxa"/>
            <w:vAlign w:val="bottom"/>
          </w:tcPr>
          <w:p>
            <w:pPr>
              <w:ind w:left="540"/>
              <w:spacing w:after="0"/>
              <w:rPr>
                <w:sz w:val="20"/>
                <w:szCs w:val="20"/>
                <w:color w:val="auto"/>
              </w:rPr>
            </w:pPr>
            <w:r>
              <w:rPr>
                <w:rFonts w:ascii="Times New Roman" w:cs="Times New Roman" w:eastAsia="Times New Roman" w:hAnsi="Times New Roman"/>
                <w:sz w:val="13"/>
                <w:szCs w:val="13"/>
                <w:color w:val="auto"/>
                <w:w w:val="91"/>
              </w:rPr>
              <w:t>no</w:t>
            </w:r>
          </w:p>
        </w:tc>
        <w:tc>
          <w:tcPr>
            <w:tcW w:w="100" w:type="dxa"/>
            <w:vAlign w:val="bottom"/>
          </w:tcPr>
          <w:p>
            <w:pPr>
              <w:spacing w:after="0"/>
              <w:rPr>
                <w:sz w:val="13"/>
                <w:szCs w:val="13"/>
                <w:color w:val="auto"/>
              </w:rPr>
            </w:pPr>
          </w:p>
        </w:tc>
        <w:tc>
          <w:tcPr>
            <w:tcW w:w="660" w:type="dxa"/>
            <w:vAlign w:val="bottom"/>
          </w:tcPr>
          <w:p>
            <w:pPr>
              <w:ind w:left="520"/>
              <w:spacing w:after="0"/>
              <w:rPr>
                <w:sz w:val="20"/>
                <w:szCs w:val="20"/>
                <w:color w:val="auto"/>
              </w:rPr>
            </w:pPr>
            <w:r>
              <w:rPr>
                <w:rFonts w:ascii="Times New Roman" w:cs="Times New Roman" w:eastAsia="Times New Roman" w:hAnsi="Times New Roman"/>
                <w:sz w:val="13"/>
                <w:szCs w:val="13"/>
                <w:color w:val="auto"/>
                <w:w w:val="91"/>
              </w:rPr>
              <w:t>no</w:t>
            </w:r>
          </w:p>
        </w:tc>
        <w:tc>
          <w:tcPr>
            <w:tcW w:w="100" w:type="dxa"/>
            <w:vAlign w:val="bottom"/>
          </w:tcPr>
          <w:p>
            <w:pPr>
              <w:spacing w:after="0"/>
              <w:rPr>
                <w:sz w:val="13"/>
                <w:szCs w:val="13"/>
                <w:color w:val="auto"/>
              </w:rPr>
            </w:pPr>
          </w:p>
        </w:tc>
        <w:tc>
          <w:tcPr>
            <w:tcW w:w="660" w:type="dxa"/>
            <w:vAlign w:val="bottom"/>
          </w:tcPr>
          <w:p>
            <w:pPr>
              <w:ind w:left="520"/>
              <w:spacing w:after="0"/>
              <w:rPr>
                <w:sz w:val="20"/>
                <w:szCs w:val="20"/>
                <w:color w:val="auto"/>
              </w:rPr>
            </w:pPr>
            <w:r>
              <w:rPr>
                <w:rFonts w:ascii="Times New Roman" w:cs="Times New Roman" w:eastAsia="Times New Roman" w:hAnsi="Times New Roman"/>
                <w:sz w:val="13"/>
                <w:szCs w:val="13"/>
                <w:color w:val="auto"/>
                <w:w w:val="91"/>
              </w:rPr>
              <w:t>—</w:t>
            </w:r>
          </w:p>
        </w:tc>
        <w:tc>
          <w:tcPr>
            <w:tcW w:w="100" w:type="dxa"/>
            <w:vAlign w:val="bottom"/>
          </w:tcPr>
          <w:p>
            <w:pPr>
              <w:spacing w:after="0"/>
              <w:rPr>
                <w:sz w:val="13"/>
                <w:szCs w:val="13"/>
                <w:color w:val="auto"/>
              </w:rPr>
            </w:pPr>
          </w:p>
        </w:tc>
        <w:tc>
          <w:tcPr>
            <w:tcW w:w="640" w:type="dxa"/>
            <w:vAlign w:val="bottom"/>
          </w:tcPr>
          <w:p>
            <w:pPr>
              <w:ind w:left="500"/>
              <w:spacing w:after="0"/>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tcPr>
          <w:p>
            <w:pPr>
              <w:spacing w:after="0"/>
              <w:rPr>
                <w:sz w:val="13"/>
                <w:szCs w:val="13"/>
                <w:color w:val="auto"/>
              </w:rPr>
            </w:pPr>
          </w:p>
        </w:tc>
        <w:tc>
          <w:tcPr>
            <w:tcW w:w="600" w:type="dxa"/>
            <w:vAlign w:val="bottom"/>
          </w:tcPr>
          <w:p>
            <w:pPr>
              <w:ind w:left="460"/>
              <w:spacing w:after="0"/>
              <w:rPr>
                <w:sz w:val="20"/>
                <w:szCs w:val="20"/>
                <w:color w:val="auto"/>
              </w:rPr>
            </w:pPr>
            <w:r>
              <w:rPr>
                <w:rFonts w:ascii="Times New Roman" w:cs="Times New Roman" w:eastAsia="Times New Roman" w:hAnsi="Times New Roman"/>
                <w:sz w:val="13"/>
                <w:szCs w:val="13"/>
                <w:color w:val="auto"/>
                <w:w w:val="91"/>
              </w:rPr>
              <w:t>—</w:t>
            </w:r>
          </w:p>
        </w:tc>
      </w:tr>
    </w:tbl>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FFFFFF"/>
        </w:rPr>
        <w:t>Includes legal actions initiated during the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929005</wp:posOffset>
            </wp:positionV>
            <wp:extent cx="7157720" cy="4254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7" w:right="339" w:bottom="1440" w:gutter="0" w:footer="0" w:header="0"/>
        </w:sectPr>
      </w:pPr>
    </w:p>
    <w:bookmarkStart w:id="38" w:name="page39"/>
    <w:bookmarkEnd w:id="3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1."/>
      <w:numFmt w:val="decimal"/>
      <w:start w:val="1"/>
    </w:lvl>
  </w:abstractNum>
  <w:abstractNum w:abstractNumId="3">
    <w:nsid w:val="3352255A"/>
    <w:multiLevelType w:val="hybridMultilevel"/>
    <w:lvl w:ilvl="0">
      <w:lvlJc w:val="left"/>
      <w:lvlText w:val="%1."/>
      <w:numFmt w:val="decimal"/>
      <w:start w:val="4"/>
    </w:lvl>
  </w:abstractNum>
  <w:abstractNum w:abstractNumId="4">
    <w:nsid w:val="109CF92E"/>
    <w:multiLevelType w:val="hybridMultilevel"/>
    <w:lvl w:ilvl="0">
      <w:lvlJc w:val="left"/>
      <w:lvlText w:val="%1."/>
      <w:numFmt w:val="decimal"/>
      <w:start w:val="5"/>
    </w:lvl>
  </w:abstractNum>
  <w:abstractNum w:abstractNumId="5">
    <w:nsid w:val="DED7263"/>
    <w:multiLevelType w:val="hybridMultilevel"/>
    <w:lvl w:ilvl="0">
      <w:lvlJc w:val="left"/>
      <w:lvlText w:val="%1."/>
      <w:numFmt w:val="decimal"/>
      <w:start w:val="6"/>
    </w:lvl>
  </w:abstractNum>
  <w:abstractNum w:abstractNumId="6">
    <w:nsid w:val="7FDCC233"/>
    <w:multiLevelType w:val="hybridMultilevel"/>
    <w:lvl w:ilvl="0">
      <w:lvlJc w:val="left"/>
      <w:lvlText w:val="%1."/>
      <w:numFmt w:val="decimal"/>
      <w:start w:val="7"/>
    </w:lvl>
  </w:abstractNum>
  <w:abstractNum w:abstractNumId="7">
    <w:nsid w:val="1BEFD79F"/>
    <w:multiLevelType w:val="hybridMultilevel"/>
    <w:lvl w:ilvl="0">
      <w:lvlJc w:val="left"/>
      <w:lvlText w:val="%1."/>
      <w:numFmt w:val="decimal"/>
      <w:start w:val="8"/>
    </w:lvl>
  </w:abstractNum>
  <w:abstractNum w:abstractNumId="8">
    <w:nsid w:val="41A7C4C9"/>
    <w:multiLevelType w:val="hybridMultilevel"/>
    <w:lvl w:ilvl="0">
      <w:lvlJc w:val="left"/>
      <w:lvlText w:val="•"/>
      <w:numFmt w:val="bullet"/>
      <w:start w:val="1"/>
    </w:lvl>
  </w:abstractNum>
  <w:abstractNum w:abstractNumId="9">
    <w:nsid w:val="6B68079A"/>
    <w:multiLevelType w:val="hybridMultilevel"/>
    <w:lvl w:ilvl="0">
      <w:lvlJc w:val="left"/>
      <w:lvlText w:val="%1"/>
      <w:numFmt w:val="decimal"/>
      <w:start w:val="95"/>
    </w:lvl>
  </w:abstractNum>
  <w:abstractNum w:abstractNumId="10">
    <w:nsid w:val="4E6AFB66"/>
    <w:multiLevelType w:val="hybridMultilevel"/>
    <w:lvl w:ilvl="0">
      <w:lvlJc w:val="left"/>
      <w:lvlText w:val="*"/>
      <w:numFmt w:val="bullet"/>
      <w:start w:val="1"/>
    </w:lvl>
    <w:lvl w:ilvl="1">
      <w:lvlJc w:val="left"/>
      <w:lvlText w:val="%2"/>
      <w:numFmt w:val="decimal"/>
      <w:start w:val="104"/>
    </w:lvl>
  </w:abstractNum>
  <w:abstractNum w:abstractNumId="11">
    <w:nsid w:val="25E45D32"/>
    <w:multiLevelType w:val="hybridMultilevel"/>
    <w:lvl w:ilvl="0">
      <w:lvlJc w:val="left"/>
      <w:lvlText w:val="(%1)"/>
      <w:numFmt w:val="decimal"/>
      <w:start w:val="1"/>
    </w:lvl>
  </w:abstractNum>
  <w:abstractNum w:abstractNumId="12">
    <w:nsid w:val="519B500D"/>
    <w:multiLevelType w:val="hybridMultilevel"/>
    <w:lvl w:ilvl="0">
      <w:lvlJc w:val="left"/>
      <w:lvlText w:val="%1."/>
      <w:numFmt w:val="decimal"/>
      <w:start w:val="1"/>
    </w:lvl>
  </w:abstractNum>
  <w:abstractNum w:abstractNumId="13">
    <w:nsid w:val="431BD7B7"/>
    <w:multiLevelType w:val="hybridMultilevel"/>
    <w:lvl w:ilvl="0">
      <w:lvlJc w:val="left"/>
      <w:lvlText w:val="%1)"/>
      <w:numFmt w:val="lowerLetter"/>
      <w:start w:val="1"/>
    </w:lvl>
  </w:abstractNum>
  <w:abstractNum w:abstractNumId="14">
    <w:nsid w:val="3F2DBA31"/>
    <w:multiLevelType w:val="hybridMultilevel"/>
    <w:lvl w:ilvl="0">
      <w:lvlJc w:val="left"/>
      <w:lvlText w:val="%1."/>
      <w:numFmt w:val="decimal"/>
      <w:start w:val="5"/>
    </w:lvl>
  </w:abstractNum>
  <w:abstractNum w:abstractNumId="15">
    <w:nsid w:val="7C83E458"/>
    <w:multiLevelType w:val="hybridMultilevel"/>
    <w:lvl w:ilvl="0">
      <w:lvlJc w:val="left"/>
      <w:lvlText w:val="%1)"/>
      <w:numFmt w:val="lowerLetter"/>
      <w:start w:val="1"/>
    </w:lvl>
  </w:abstractNum>
  <w:abstractNum w:abstractNumId="16">
    <w:nsid w:val="257130A3"/>
    <w:multiLevelType w:val="hybridMultilevel"/>
    <w:lvl w:ilvl="0">
      <w:lvlJc w:val="left"/>
      <w:lvlText w:val="%1."/>
      <w:numFmt w:val="decimal"/>
      <w:start w:val="1"/>
    </w:lvl>
  </w:abstractNum>
  <w:abstractNum w:abstractNumId="17">
    <w:nsid w:val="62BBD95A"/>
    <w:multiLevelType w:val="hybridMultilevel"/>
    <w:lvl w:ilvl="0">
      <w:lvlJc w:val="left"/>
      <w:lvlText w:val="%1)"/>
      <w:numFmt w:val="lowerLetter"/>
      <w:start w:val="1"/>
    </w:lvl>
  </w:abstractNum>
  <w:abstractNum w:abstractNumId="18">
    <w:nsid w:val="436C6125"/>
    <w:multiLevelType w:val="hybridMultilevel"/>
    <w:lvl w:ilvl="0">
      <w:lvlJc w:val="left"/>
      <w:lvlText w:val="%1."/>
      <w:numFmt w:val="decimal"/>
      <w:start w:val="5"/>
    </w:lvl>
  </w:abstractNum>
  <w:abstractNum w:abstractNumId="19">
    <w:nsid w:val="628C895D"/>
    <w:multiLevelType w:val="hybridMultilevel"/>
    <w:lvl w:ilvl="0">
      <w:lvlJc w:val="left"/>
      <w:lvlText w:val="%1)"/>
      <w:numFmt w:val="lowerLetter"/>
      <w:start w:val="1"/>
    </w:lvl>
  </w:abstractNum>
  <w:abstractNum w:abstractNumId="20">
    <w:nsid w:val="333AB105"/>
    <w:multiLevelType w:val="hybridMultilevel"/>
    <w:lvl w:ilvl="0">
      <w:lvlJc w:val="left"/>
      <w:lvlText w:val="(%1)"/>
      <w:numFmt w:val="lowerRoman"/>
      <w:start w:val="1"/>
    </w:lvl>
  </w:abstractNum>
  <w:abstractNum w:abstractNumId="21">
    <w:nsid w:val="721DA317"/>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jpe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401" Type="http://schemas.openxmlformats.org/officeDocument/2006/relationships/image" Target="media/image392.png"/><Relationship Id="rId402" Type="http://schemas.openxmlformats.org/officeDocument/2006/relationships/image" Target="media/image393.png"/><Relationship Id="rId403" Type="http://schemas.openxmlformats.org/officeDocument/2006/relationships/image" Target="media/image394.png"/><Relationship Id="rId404" Type="http://schemas.openxmlformats.org/officeDocument/2006/relationships/image" Target="media/image395.png"/><Relationship Id="rId405" Type="http://schemas.openxmlformats.org/officeDocument/2006/relationships/image" Target="media/image396.png"/><Relationship Id="rId406" Type="http://schemas.openxmlformats.org/officeDocument/2006/relationships/image" Target="media/image397.png"/><Relationship Id="rId407" Type="http://schemas.openxmlformats.org/officeDocument/2006/relationships/image" Target="media/image398.png"/><Relationship Id="rId408" Type="http://schemas.openxmlformats.org/officeDocument/2006/relationships/image" Target="media/image399.png"/><Relationship Id="rId409" Type="http://schemas.openxmlformats.org/officeDocument/2006/relationships/image" Target="media/image400.png"/><Relationship Id="rId410" Type="http://schemas.openxmlformats.org/officeDocument/2006/relationships/image" Target="media/image401.png"/><Relationship Id="rId411" Type="http://schemas.openxmlformats.org/officeDocument/2006/relationships/image" Target="media/image402.png"/><Relationship Id="rId412" Type="http://schemas.openxmlformats.org/officeDocument/2006/relationships/image" Target="media/image403.png"/><Relationship Id="rId413" Type="http://schemas.openxmlformats.org/officeDocument/2006/relationships/image" Target="media/image404.png"/><Relationship Id="rId414" Type="http://schemas.openxmlformats.org/officeDocument/2006/relationships/image" Target="media/image405.png"/><Relationship Id="rId399" Type="http://schemas.openxmlformats.org/officeDocument/2006/relationships/hyperlink" Target="https://www.sec.gov/Archives/edgar/data/1021860/000119312523148208/d460588dex31.htm" TargetMode="External"/><Relationship Id="rId400" Type="http://schemas.openxmlformats.org/officeDocument/2006/relationships/hyperlink" Target="https://www.sec.gov/Archives/edgar/data/1021860/000119312523053963/d443168dex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2024-07-29T11:26:49Z</dcterms:created>
  <dcterms:modified xsi:type="dcterms:W3CDTF">2024-07-29T11:26:49Z</dcterms:modified>
</cp:coreProperties>
</file>