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Novak Christy Lynn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10353 RICHMOND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VP, Corp. Controller, CAO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11/24/2025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21,435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14.7459</w:t>
            </w:r>
            <w:r>
              <w:rPr>
                <w:rFonts w:ascii="Times New Roman" w:cs="Times New Roman" w:eastAsia="Times New Roman" w:hAnsi="Times New Roman"/>
                <w:sz w:val="22"/>
                <w:szCs w:val="22"/>
                <w:color w:val="008000"/>
                <w:w w:val="92"/>
                <w:vertAlign w:val="superscript"/>
              </w:rPr>
              <w:t>(1)</w:t>
            </w:r>
          </w:p>
        </w:tc>
        <w:tc>
          <w:tcPr>
            <w:tcW w:w="118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91,475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11/24/2025</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right="156"/>
              <w:spacing w:after="0"/>
              <w:rPr>
                <w:sz w:val="20"/>
                <w:szCs w:val="20"/>
                <w:color w:val="auto"/>
              </w:rPr>
            </w:pPr>
            <w:r>
              <w:rPr>
                <w:rFonts w:ascii="Times New Roman" w:cs="Times New Roman" w:eastAsia="Times New Roman" w:hAnsi="Times New Roman"/>
                <w:sz w:val="34"/>
                <w:szCs w:val="34"/>
                <w:color w:val="0000FF"/>
                <w:vertAlign w:val="subscript"/>
              </w:rPr>
              <w:t>450</w:t>
            </w:r>
            <w:r>
              <w:rPr>
                <w:rFonts w:ascii="Times New Roman" w:cs="Times New Roman" w:eastAsia="Times New Roman" w:hAnsi="Times New Roman"/>
                <w:sz w:val="11"/>
                <w:szCs w:val="11"/>
                <w:color w:val="008000"/>
              </w:rPr>
              <w:t>(2)</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15.035</w:t>
            </w:r>
          </w:p>
        </w:tc>
        <w:tc>
          <w:tcPr>
            <w:tcW w:w="420" w:type="dxa"/>
            <w:vAlign w:val="bottom"/>
          </w:tcPr>
          <w:p>
            <w:pPr>
              <w:spacing w:after="0"/>
              <w:rPr>
                <w:sz w:val="21"/>
                <w:szCs w:val="21"/>
                <w:color w:val="auto"/>
              </w:rPr>
            </w:pPr>
          </w:p>
        </w:tc>
        <w:tc>
          <w:tcPr>
            <w:tcW w:w="7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average price. These shares were sold in multiple transactions. The prices for the shares ranged from $14.74 to $14.765. The reporting person undertakes to provide to NOV Inc., any securityholder of NOV Inc., or the staff of the Securities and Exchange Commission, upon request, full information regarding the number of shares sold at each separate price within the ranges set forth within this footnote (1) to this Form 4.</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the number of shares equivalent of NOV Inc. common stock sold by Ms. Novak under an IRA account with Merrill Lynch, Pierce, Fenner &amp; Smith Incorporated. Following this sale, Ms. Novak no longer holds any shares equivalent of NOV Inc. common stock in this account.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Peter F. Vranderic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11/24/2025</w:t>
            </w:r>
          </w:p>
        </w:tc>
        <w:tc>
          <w:tcPr>
            <w:tcW w:w="0" w:type="dxa"/>
            <w:vAlign w:val="bottom"/>
          </w:tcPr>
          <w:p>
            <w:pPr>
              <w:spacing w:after="0"/>
              <w:rPr>
                <w:sz w:val="1"/>
                <w:szCs w:val="1"/>
                <w:color w:val="auto"/>
              </w:rPr>
            </w:pPr>
          </w:p>
        </w:tc>
      </w:tr>
      <w:tr>
        <w:trPr>
          <w:trHeight w:val="87"/>
        </w:trPr>
        <w:tc>
          <w:tcPr>
            <w:tcW w:w="12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Christy H. Novak</w:t>
            </w:r>
          </w:p>
        </w:tc>
        <w:tc>
          <w:tcPr>
            <w:tcW w:w="6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4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884" TargetMode="External"/><Relationship Id="rId14"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2025-11-24T20:54:03Z</dcterms:created>
  <dcterms:modified xsi:type="dcterms:W3CDTF">2025-11-24T20:54:03Z</dcterms:modified>
</cp:coreProperties>
</file>